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A9C6B" w14:textId="7D4C6ECE" w:rsidR="00360C40" w:rsidRPr="002B6698" w:rsidRDefault="002B6698">
      <w:pPr>
        <w:spacing w:after="300"/>
        <w:jc w:val="center"/>
        <w:rPr>
          <w:rFonts w:asciiTheme="majorBidi" w:hAnsiTheme="majorBidi" w:cstheme="majorBidi"/>
          <w:sz w:val="28"/>
          <w:szCs w:val="28"/>
        </w:rPr>
      </w:pPr>
      <w:r>
        <w:rPr>
          <w:rFonts w:asciiTheme="majorBidi" w:hAnsiTheme="majorBidi" w:cstheme="majorBidi"/>
          <w:b/>
          <w:bCs/>
          <w:sz w:val="28"/>
          <w:szCs w:val="28"/>
        </w:rPr>
        <w:t>Sistem Kompensasi Dan Retensi Karyawan Pada Lembaga Keuangan Mikro Syariah: Studi Deskriptif-Eksploratif Koperasi Al Iqtishod Lil Muamalah Mawaddah Syariah Jawa Timur</w:t>
      </w:r>
    </w:p>
    <w:p w14:paraId="16AF6DE5" w14:textId="4E2A3036" w:rsidR="00360C40" w:rsidRPr="002B6698" w:rsidRDefault="00000000">
      <w:pPr>
        <w:spacing w:after="100"/>
        <w:jc w:val="center"/>
        <w:rPr>
          <w:rFonts w:asciiTheme="majorBidi" w:hAnsiTheme="majorBidi" w:cstheme="majorBidi"/>
          <w:sz w:val="24"/>
          <w:szCs w:val="24"/>
        </w:rPr>
      </w:pPr>
      <w:r>
        <w:rPr>
          <w:rFonts w:asciiTheme="majorBidi" w:hAnsiTheme="majorBidi" w:cstheme="majorBidi"/>
          <w:sz w:val="24"/>
          <w:szCs w:val="24"/>
        </w:rPr>
        <w:t>¹Muchlis</w:t>
      </w:r>
    </w:p>
    <w:p w14:paraId="71F4C265" w14:textId="19539CC6" w:rsidR="002B6698" w:rsidRPr="002B6698" w:rsidRDefault="002B6698">
      <w:pPr>
        <w:spacing w:after="100"/>
        <w:jc w:val="center"/>
        <w:rPr>
          <w:rFonts w:asciiTheme="majorBidi" w:hAnsiTheme="majorBidi" w:cstheme="majorBidi"/>
          <w:sz w:val="24"/>
          <w:szCs w:val="24"/>
        </w:rPr>
      </w:pPr>
      <w:r>
        <w:rPr>
          <w:rFonts w:asciiTheme="majorBidi" w:hAnsiTheme="majorBidi" w:cstheme="majorBidi"/>
          <w:sz w:val="24"/>
          <w:szCs w:val="24"/>
        </w:rPr>
        <w:t>muchlisfia@gmail.com</w:t>
      </w:r>
    </w:p>
    <w:p w14:paraId="6317A66F" w14:textId="034B25F5" w:rsidR="00360C40" w:rsidRPr="002B6698" w:rsidRDefault="00000000">
      <w:pPr>
        <w:spacing w:after="400"/>
        <w:jc w:val="center"/>
        <w:rPr>
          <w:rFonts w:asciiTheme="majorBidi" w:hAnsiTheme="majorBidi" w:cstheme="majorBidi"/>
          <w:sz w:val="24"/>
          <w:szCs w:val="24"/>
        </w:rPr>
      </w:pPr>
      <w:r>
        <w:rPr>
          <w:rFonts w:asciiTheme="majorBidi" w:hAnsiTheme="majorBidi" w:cstheme="majorBidi"/>
          <w:i/>
          <w:iCs/>
          <w:sz w:val="24"/>
          <w:szCs w:val="24"/>
        </w:rPr>
        <w:t>¹Prodi Manajemen Dakwah, Institut Agama Islam Miftahul Ulum Pamekasan</w:t>
      </w:r>
    </w:p>
    <w:p w14:paraId="1D58CBAA" w14:textId="7B3B7525" w:rsidR="00360C40" w:rsidRPr="002B6698" w:rsidRDefault="002B6698">
      <w:pPr>
        <w:pStyle w:val="Heading1"/>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Abstrak</w:t>
      </w:r>
    </w:p>
    <w:p w14:paraId="6BE14F4E" w14:textId="77777777" w:rsidR="002B6698" w:rsidRPr="002B6698" w:rsidRDefault="002B6698" w:rsidP="002B6698">
      <w:pPr>
        <w:spacing w:after="200" w:line="360" w:lineRule="auto"/>
        <w:jc w:val="both"/>
        <w:rPr>
          <w:rFonts w:asciiTheme="majorBidi" w:hAnsiTheme="majorBidi" w:cstheme="majorBidi"/>
          <w:sz w:val="24"/>
          <w:szCs w:val="24"/>
        </w:rPr>
      </w:pPr>
      <w:r>
        <w:rPr>
          <w:rFonts w:asciiTheme="majorBidi" w:hAnsiTheme="majorBidi" w:cstheme="majorBidi"/>
          <w:sz w:val="24"/>
          <w:szCs w:val="24"/>
        </w:rPr>
        <w:t>Sistem kompensasi merupakan salah satu faktor utama dalam retensi karyawan, termasuk pada lembaga keuangan mikro syariah yang beroperasi dengan jaringan cabang luas dan struktur biaya ketat. Penelitian ini bertujuan mendeskripsikan struktur serta tren komponen kompensasi karyawan di BMT Mawaddah Jawa Timur dan mengeksplorasi kaitannya dengan retensi, meskipun keterbatasan mendasar perlu ditegaskan sejak awal: dokumen sumber tidak memuat data turnover, wawancara keluar, maupun survei kepuasan kerja, sehingga penelitian ini tidak dapat menguji hubungan kausal antara kompensasi dan retensi. Hasil menunjukkan total beban kepegawaian tumbuh 16,2% pada Tahun Buku 2025 dibandingkan 2024, dengan bisyaroh (upah pokok) sebagai komponen terbesar. Selain itu, saldo liabilitas imbalan kerja pascakerja turun dari Rp1.954.234.000 (2024) menjadi Rp1.430.381.802 (2025), sebuah indikator tidak langsung yang dapat mengarah pada beberapa kemungkinan, termasuk pembayaran imbalan kepada karyawan yang keluar, meski penyebab pastinya tidak dapat dipastikan tanpa data tambahan. Kesimpulannya, BMT Mawaddah telah membangun struktur kompensasi yang relatif lengkap dan melengkapi dengan praktik retensi non-moneter berbasis nilai keagamaan, namun efektivitas riil terhadap retensi karyawan tidak dapat dibuktikan tanpa pengumpulan data primer lebih lanjut, sehingga rekomendasi utama penelitian ini adalah perlunya survei kepuasan, data turnover, dan wawancara keluar agar hubungan antara kompensasi dan retensi dapat diuji secara empiris.</w:t>
      </w:r>
    </w:p>
    <w:p w14:paraId="32A28FAA"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b/>
          <w:bCs/>
          <w:sz w:val="24"/>
          <w:szCs w:val="24"/>
        </w:rPr>
        <w:t xml:space="preserve">Kata kunci: </w:t>
      </w:r>
      <w:r>
        <w:rPr>
          <w:rFonts w:asciiTheme="majorBidi" w:hAnsiTheme="majorBidi" w:cstheme="majorBidi"/>
          <w:sz w:val="24"/>
          <w:szCs w:val="24"/>
        </w:rPr>
        <w:t>kompensasi karyawan; retensi karyawan; lembaga keuangan mikro syariah; sumber daya manusia; BMT</w:t>
      </w:r>
    </w:p>
    <w:p w14:paraId="216E428E" w14:textId="311A47A0" w:rsidR="00360C40" w:rsidRPr="002B6698" w:rsidRDefault="00A11DD3">
      <w:pPr>
        <w:pStyle w:val="Heading1"/>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Abstract</w:t>
      </w:r>
    </w:p>
    <w:p w14:paraId="2CCA4798" w14:textId="77777777" w:rsidR="002B6698" w:rsidRPr="002B6698" w:rsidRDefault="002B6698" w:rsidP="002B6698">
      <w:p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Compensation systems are widely recognized as one of the most critical determinants of employee retention, particularly in Islamic microfinance institutions that operate with extensive branch </w:t>
      </w:r>
      <w:r>
        <w:rPr>
          <w:rFonts w:asciiTheme="majorBidi" w:hAnsiTheme="majorBidi" w:cstheme="majorBidi"/>
          <w:sz w:val="24"/>
          <w:szCs w:val="24"/>
        </w:rPr>
        <w:lastRenderedPageBreak/>
        <w:t xml:space="preserve">networks and tight operational budgets. This study aims to describe the structure and trends of employee compensation at BMT Mawaddah in East Java and to conceptually explore its link to retention. A fundamental limitation must be acknowledged upfront: the available documents do not include turnover data, exit interviews, or employee satisfaction surveys—three common measures of retention in empirical research. Consequently, this study is deliberately positioned as a descriptive-exploratory analysis of compensation structures rather than an effectiveness study testing causal relationships between compensation and employee mobility. Findings indicate that total personnel expenses grew by 16.2% in the 2025 fiscal year compared to 2024, with </w:t>
      </w:r>
      <w:r>
        <w:rPr>
          <w:rFonts w:asciiTheme="majorBidi" w:hAnsiTheme="majorBidi" w:cstheme="majorBidi"/>
          <w:i/>
          <w:iCs/>
          <w:sz w:val="24"/>
          <w:szCs w:val="24"/>
        </w:rPr>
        <w:t>bisyaroh</w:t>
      </w:r>
      <w:r>
        <w:rPr>
          <w:rFonts w:asciiTheme="majorBidi" w:hAnsiTheme="majorBidi" w:cstheme="majorBidi"/>
          <w:sz w:val="24"/>
          <w:szCs w:val="24"/>
        </w:rPr>
        <w:t xml:space="preserve"> (basic wages) comprising the largest share. The data also show a decline in post-employment benefit liabilities from Rp1,954,234,000 (2024) to Rp1,430,381,802 (2025), an indirect indicator that could suggest several possibilities—including payouts to departing employees—though the exact cause cannot be confirmed without additional evidence. In conclusion, BMT Mawaddah has developed a relatively comprehensive compensation structure and supplemented it with non-monetary retention practices rooted in religious values. However, its actual effectiveness in retaining employees cannot be substantiated without further primary data collection, making surveys, turnover records, and exit interviews the study’s key recommendations.</w:t>
      </w:r>
    </w:p>
    <w:p w14:paraId="65D599E8"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b/>
          <w:bCs/>
          <w:sz w:val="24"/>
          <w:szCs w:val="24"/>
        </w:rPr>
        <w:t xml:space="preserve">Keywords: </w:t>
      </w:r>
      <w:r>
        <w:rPr>
          <w:rFonts w:asciiTheme="majorBidi" w:hAnsiTheme="majorBidi" w:cstheme="majorBidi"/>
          <w:sz w:val="24"/>
          <w:szCs w:val="24"/>
        </w:rPr>
        <w:t>employee compensation; employee retention; Islamic microfinance institution; human resources; BMT</w:t>
      </w:r>
    </w:p>
    <w:p w14:paraId="4E7E39A3" w14:textId="4693C319" w:rsidR="00360C40" w:rsidRPr="002B6698" w:rsidRDefault="002B6698">
      <w:pPr>
        <w:pStyle w:val="Heading1"/>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Pendahuluan</w:t>
      </w:r>
    </w:p>
    <w:p w14:paraId="5BB78FB3"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Sumber daya manusia merupakan aset strategis pada lembaga keuangan mikro (LKM), termasuk LKM syariah, mengingat sifat bisnis yang sangat bergantung pada interaksi langsung antara petugas lapangan dan anggota atau nasabah, terutama pada model layanan berbasis jaringan kantor cabang yang tersebar luas. Pada konteks ini, sistem kompensasi memegang peran ganda: sebagai instrumen untuk menarik dan mempertahankan karyawan yang kompeten (talent retention), sekaligus sebagai komponen biaya operasional yang signifikan mengingat struktur bisnis LKM yang umumnya beroperasi dengan margin yang relatif tipis dibandingkan lembaga keuangan skala besar (Cull, Demirgüç-Kunt, &amp; Morduch, 2018).</w:t>
      </w:r>
    </w:p>
    <w:p w14:paraId="2C10B4D9"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Pada LKM syariah secara khusus, sistem kompensasi juga bersinggungan dengan nilai-nilai keislaman mengenai upah (ujrah) yang adil dan tepat waktu, sebagaimana ditegaskan dalam </w:t>
      </w:r>
      <w:r>
        <w:rPr>
          <w:rFonts w:asciiTheme="majorBidi" w:hAnsiTheme="majorBidi" w:cstheme="majorBidi"/>
          <w:sz w:val="24"/>
          <w:szCs w:val="24"/>
        </w:rPr>
        <w:lastRenderedPageBreak/>
        <w:t>berbagai fatwa dan kajian fikih muamalah mengenai hubungan kerja (Mubarok &amp; Hasanudin, 2017). Sejumlah LKM syariah berbasis pesantren turut mengembangkan praktik retensi karyawan yang bersifat non-moneter dan berbasis nilai keagamaan — seperti kegiatan spiritual bersama atau ziarah — sebagai pelengkap kompensasi finansial konvensional, sebuah praktik yang jarang dibahas dalam literatur manajemen SDM arus utama yang umumnya berkembang pada konteks organisasi sekuler.</w:t>
      </w:r>
    </w:p>
    <w:p w14:paraId="17F6B51D"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Koperasi Al Iqtishod Lil Muamalah Mawaddah Syariah Jawa Timur (BMT Mawaddah), yang mengelola 18 kantor cabang dengan 124 karyawan pada Tahun Buku 2025, menghadirkan kasus yang relevan untuk mendeskripsikan struktur kompensasi pada LKM syariah berbasis pesantren. Akan tetapi, penelitian ini perlu menyatakan secara jujur di awal bahwa dokumen sumber yang tersedia — Laporan RAT Tahun Buku 2025 — tidak dirancang sebagai instrumen pengukuran retensi karyawan. Dokumen ini adalah laporan pertanggungjawaban keuangan dan organisasi kepada anggota koperasi, bukan laporan sumber daya manusia yang mencatat data historis karyawan masuk-keluar, hasil wawancara keluar, atau survei kepuasan kerja. Konsekuensinya, penelitian ini tidak dapat menguji hubungan antara kompensasi dan retensi secara empiris-kausal sebagaimana lazim dilakukan pada penelitian SDM yang menggunakan data primer khusus untuk tujuan tersebut.</w:t>
      </w:r>
    </w:p>
    <w:p w14:paraId="43E5C8E5" w14:textId="77777777" w:rsidR="002B6698" w:rsidRPr="00A11DD3" w:rsidRDefault="002B6698" w:rsidP="002B6698">
      <w:pPr>
        <w:spacing w:after="200" w:line="360" w:lineRule="auto"/>
        <w:jc w:val="both"/>
        <w:rPr>
          <w:rFonts w:asciiTheme="majorBidi" w:hAnsiTheme="majorBidi" w:cstheme="majorBidi"/>
          <w:sz w:val="24"/>
          <w:szCs w:val="24"/>
        </w:rPr>
      </w:pPr>
      <w:r w:rsidRPr="00A11DD3">
        <w:rPr>
          <w:rFonts w:asciiTheme="majorBidi" w:hAnsiTheme="majorBidi" w:cstheme="majorBidi"/>
          <w:sz w:val="24"/>
          <w:szCs w:val="24"/>
        </w:rPr>
        <w:t>Penelitian ini berfokus pada empat isu utama terkait kompensasi dan retensi karyawan di BMT Mawaddah. Pertama, bagaimana struktur dan komposisi komponen kompensasi pada Tahun Buku 2025 serta tren perbandingannya dengan 2024. Kedua, praktik retensi non-moneter yang dapat diidentifikasi dalam dokumen perencanaan dan pelaporan. Ketiga, indikator tidak langsung dalam dokumen keuangan yang berpotensi, meski tidak pasti, berkaitan dengan dinamika keluar-masuk karyawan. Keempat, sejauh mana data yang tersedia memungkinkan simpulan mengenai efektivitas sistem kompensasi terhadap retensi, serta implikasinya bagi kebutuhan data primer di masa mendatang.</w:t>
      </w:r>
    </w:p>
    <w:p w14:paraId="6158CAF0" w14:textId="77777777" w:rsidR="002B6698" w:rsidRPr="00A11DD3" w:rsidRDefault="002B6698" w:rsidP="002B6698">
      <w:pPr>
        <w:spacing w:after="200" w:line="360" w:lineRule="auto"/>
        <w:jc w:val="both"/>
        <w:rPr>
          <w:rFonts w:asciiTheme="majorBidi" w:hAnsiTheme="majorBidi" w:cstheme="majorBidi"/>
          <w:sz w:val="24"/>
          <w:szCs w:val="24"/>
        </w:rPr>
      </w:pPr>
      <w:r w:rsidRPr="00A11DD3">
        <w:rPr>
          <w:rFonts w:asciiTheme="majorBidi" w:hAnsiTheme="majorBidi" w:cstheme="majorBidi"/>
          <w:sz w:val="24"/>
          <w:szCs w:val="24"/>
        </w:rPr>
        <w:t xml:space="preserve">Tujuan penelitian ini adalah mendeskripsikan struktur dan tren kompensasi karyawan BMT Mawaddah, mengidentifikasi praktik retensi non-moneter yang tercatat dalam dokumen, serta mengeksplorasi secara hati-hati indikator tidak langsung yang mungkin relevan dengan retensi karyawan. Penelitian ini juga secara eksplisit memetakan batas antara simpulan yang dapat </w:t>
      </w:r>
      <w:r w:rsidRPr="00A11DD3">
        <w:rPr>
          <w:rFonts w:asciiTheme="majorBidi" w:hAnsiTheme="majorBidi" w:cstheme="majorBidi"/>
          <w:sz w:val="24"/>
          <w:szCs w:val="24"/>
        </w:rPr>
        <w:lastRenderedPageBreak/>
        <w:t>dipertanggungjawabkan dengan data yang tersedia dan aspek yang memerlukan tambahan data primer untuk verifikasi lebih lanjut.</w:t>
      </w:r>
    </w:p>
    <w:p w14:paraId="266E398C" w14:textId="77777777" w:rsidR="002B6698" w:rsidRPr="00A11DD3" w:rsidRDefault="002B6698" w:rsidP="002B6698">
      <w:pPr>
        <w:spacing w:after="200" w:line="360" w:lineRule="auto"/>
        <w:jc w:val="both"/>
        <w:rPr>
          <w:rFonts w:asciiTheme="majorBidi" w:hAnsiTheme="majorBidi" w:cstheme="majorBidi"/>
          <w:sz w:val="24"/>
          <w:szCs w:val="24"/>
        </w:rPr>
      </w:pPr>
      <w:r w:rsidRPr="00A11DD3">
        <w:rPr>
          <w:rFonts w:asciiTheme="majorBidi" w:hAnsiTheme="majorBidi" w:cstheme="majorBidi"/>
          <w:sz w:val="24"/>
          <w:szCs w:val="24"/>
        </w:rPr>
        <w:t>Kontribusi penelitian terletak pada pendokumentasian struktur kompensasi lembaga keuangan mikro syariah berbasis pesantren secara rinci, sebuah data yang jarang dipublikasikan. Lebih jauh, kontribusi metodologisnya adalah kejujuran epistemik: alih-alih memaksakan klaim retensi dari data yang tidak dirancang untuk mengukurnya, penelitian ini menegaskan batas antara deskripsi yang valid dan area yang membutuhkan penelitian lanjutan. Pendekatan ini diharapkan menjadi norma dalam kajian berbasis dokumen sekunder, sehingga menghasilkan analisis yang lebih berimbang dan transparan.</w:t>
      </w:r>
    </w:p>
    <w:p w14:paraId="3989396E" w14:textId="0E19CD5F" w:rsidR="00360C40" w:rsidRPr="002B6698" w:rsidRDefault="002B6698">
      <w:pPr>
        <w:pStyle w:val="Heading1"/>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Tinjauan Pustaka</w:t>
      </w:r>
    </w:p>
    <w:p w14:paraId="606CFFB5" w14:textId="06A49840" w:rsidR="00360C40" w:rsidRPr="002B6698" w:rsidRDefault="00000000">
      <w:pPr>
        <w:pStyle w:val="Heading2"/>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Total Rewards sebagai Kerangka Kompensasi</w:t>
      </w:r>
    </w:p>
    <w:p w14:paraId="509ABF49"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Literatur manajemen SDM kontemporer umumnya memandang kompensasi bukan sebagai komponen tunggal (gaji pokok semata), melainkan sebagai bauran total rewards yang mencakup kompensasi finansial langsung (gaji, tunjangan tetap, bonus kinerja), kompensasi finansial tidak langsung (asuransi, tunjangan hari tua, jaminan sosial), serta kompensasi non-finansial (pengakuan, pengembangan karier, lingkungan kerja) (Armstrong &amp; Brown, 2019; Milkovich, Newman, &amp; Gerhart, 2020). Kerangka ini relevan digunakan untuk memetakan komponen kompensasi BMT Mawaddah secara terstruktur, mengingat data yang tersedia mencakup lebih dari sekadar komponen gaji pokok.</w:t>
      </w:r>
    </w:p>
    <w:p w14:paraId="5BA92903" w14:textId="3942F888" w:rsidR="00360C40" w:rsidRPr="002B6698" w:rsidRDefault="00000000">
      <w:pPr>
        <w:pStyle w:val="Heading2"/>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Determinan Retensi Karyawan</w:t>
      </w:r>
    </w:p>
    <w:p w14:paraId="03973B99"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Kajian retensi karyawan secara umum mengidentifikasi kompensasi sebagai salah satu determinan penting, namun bukan satu-satunya — faktor lain seperti kepuasan kerja, kesempatan pengembangan karier, hubungan dengan atasan, dan kecocokan nilai (value fit) antara karyawan dan organisasi turut berperan signifikan (Naz, Li, Nisar, Khan, Ahmad, &amp; Anwar, 2020). Pada organisasi berbasis nilai keagamaan, kecocokan nilai (religiusitas organisasi dan karyawan) sering diidentifikasi sebagai faktor retensi tambahan yang tidak tercakup dalam kerangka retensi konvensional (Aprilya, Amrullah, Parmitasari, &amp; Syariati, 2025). Poin penting dari kerangka ini bagi penelitian ini adalah: karena retensi bersifat multidimensi dan dipengaruhi banyak faktor selain kompensasi, data kompensasi semata — bahkan seandainya lengkap dan detail — tidak </w:t>
      </w:r>
      <w:r>
        <w:rPr>
          <w:rFonts w:asciiTheme="majorBidi" w:hAnsiTheme="majorBidi" w:cstheme="majorBidi"/>
          <w:sz w:val="24"/>
          <w:szCs w:val="24"/>
        </w:rPr>
        <w:lastRenderedPageBreak/>
        <w:t>dapat secara tunggal menjelaskan atau memprediksi tingkat retensi aktual tanpa data pelengkap mengenai dimensi-dimensi lain tersebut.</w:t>
      </w:r>
    </w:p>
    <w:p w14:paraId="5BD61873" w14:textId="2D9ADADC" w:rsidR="00360C40" w:rsidRPr="002B6698" w:rsidRDefault="00000000">
      <w:pPr>
        <w:pStyle w:val="Heading2"/>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Keterbatasan Data Sekunder dalam Kajian Retensi</w:t>
      </w:r>
    </w:p>
    <w:p w14:paraId="3F74D2A3"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Kajian retensi karyawan yang valid secara metodologis pada umumnya memerlukan salah satu atau kombinasi dari: data historis turnover (tingkat keluar-masuk karyawan dari waktu ke waktu), hasil wawancara keluar (exit interview) yang menangkap alasan kepergian karyawan, atau survei kepuasan dan intensi bertahan (retention intention) yang diberikan langsung kepada karyawan aktif (Holtom, Mitchell, Lee, &amp; Eberly, 2008). Ketiadaan salah satu dari data ini pada penelitian berbasis dokumen sekunder — sebagaimana dihadapi penelitian ini — merupakan keterbatasan metodologis yang signifikan dan telah menjadi perhatian dalam literatur mengenai penggunaan data organisasi untuk kajian SDM (Barnes, Dang, Leavitt, Guarana, &amp; Uhlmann, 2018). Penelitian ini secara eksplisit mengadopsi kesadaran metodologis ini sebagai prinsip kerja, sebagaimana tercermin pada kerangka analisis di Bagian III.</w:t>
      </w:r>
    </w:p>
    <w:p w14:paraId="7FC18F67" w14:textId="77777777" w:rsidR="00360C40" w:rsidRPr="002B6698" w:rsidRDefault="00000000">
      <w:pPr>
        <w:pStyle w:val="Heading2"/>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D. Penelitian Terdahulu dan Posisi Penelitian</w:t>
      </w:r>
    </w:p>
    <w:p w14:paraId="3FA75A9A"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Penelitian empiris mengenai kompensasi pada BMT/KSPPS di Indonesia umumnya mengukur kinerja karyawan, bukan retensi secara langsung. Isnaini, Fauziyah, Riwana, Unsilaturrohmah, dan Haryanto (2023) menemukan bahwa pelatihan dan kompensasi secara simultan berpengaruh signifikan terhadap kinerja karyawan kantor pusat BMT NU Jawa Timur, dengan kompensasi sebagai salah satu prediktor yang signifikan meski bukan yang terkuat dibandingkan pelatihan. Roni (2019), dalam tesis pada KSPPS BMT Nurul Ummah Ngasem Bojonegoro Jawa Timur, menemukan bahwa religiusitas, kepemimpinan, etos kerja, kepuasan kerja, dan kompensasi memengaruhi kinerja karyawan melalui motivasi sebagai variabel intervening, sebuah temuan yang relevan karena menempatkan kompensasi berdampingan dengan faktor keagamaan dalam konteks LKM syariah berbasis nilai. Kedua penelitian ini menguatkan bahwa hubungan kompensasi-kinerja pada BMT/KSPPS di Jawa Timur bersifat positif dan signifikan, namun keduanya mengukur kinerja (performance), bukan retensi atau turnover secara langsung, sehingga tidak dapat dijadikan bukti langsung bagi klaim retensi.</w:t>
      </w:r>
    </w:p>
    <w:p w14:paraId="3FA75A9B"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Penelitian yang secara eksplisit mengukur turnover pada koperasi berbasis pesantren datang dari Aziza (2022), yang meneliti peran komitmen organisasi dalam mencegah turnover karyawan pada </w:t>
      </w:r>
      <w:r>
        <w:rPr>
          <w:rFonts w:asciiTheme="majorBidi" w:hAnsiTheme="majorBidi" w:cstheme="majorBidi"/>
          <w:sz w:val="24"/>
          <w:szCs w:val="24"/>
        </w:rPr>
        <w:lastRenderedPageBreak/>
        <w:t>Koperasi Pesantren Daarut Tauhiid, Kota Bandung. Penelitian ini penting bagi posisi kajian ini karena menunjukkan bahwa data dinamika karyawan (masuk-keluar) dan tingkat kehadiran dapat dan lazim dikumpulkan secara sistematis oleh koperasi berbasis pesantren untuk kepentingan analisis turnover — sebuah praktik dokumentasi yang, sebagaimana dinyatakan pada Bagian III.D, tidak tersedia bagi penelitian ini dari dokumen RAT BMT Mawaddah.</w:t>
      </w:r>
    </w:p>
    <w:p w14:paraId="3FA75A9C"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Ketiga penelitian terdahulu ini memiliki kesamaan metodologis yang membedakannya dari penelitian ini: seluruhnya menggunakan data primer (kuesioner atau wawancara langsung kepada karyawan aktif), sehingga mampu menguji hubungan kompensasi-kinerja atau komitmen-turnover secara statistik-inferensial. Penelitian ini, sebaliknya, bersandar sepenuhnya pada dokumen RAT — sebuah sumber data sekunder yang tidak dirancang untuk mengukur retensi. Posisi penelitian ini karenanya bersifat komplementer dan bukan replikatif: alih-alih menguji ulang hubungan kompensasi-retensi sebagaimana penelitian terdahulu, penelitian ini mendeskripsikan apa yang dapat dan tidak dapat disimpulkan mengenai retensi karyawan semata dari dokumen keuangan-organisasi tahunan yang lazim tersedia bagi LKM syariah berbasis pesantren — sebuah pertanyaan metodologis yang belum menjadi fokus eksplisit pada ketiga penelitian terdahulu tersebut.</w:t>
      </w:r>
    </w:p>
    <w:p w14:paraId="124BAD46" w14:textId="7C439563" w:rsidR="00360C40" w:rsidRPr="00A11DD3" w:rsidRDefault="00A11DD3">
      <w:pPr>
        <w:pStyle w:val="Heading1"/>
        <w:spacing w:before="300" w:after="200"/>
        <w:rPr>
          <w:rFonts w:asciiTheme="majorBidi" w:hAnsiTheme="majorBidi" w:cstheme="majorBidi"/>
          <w:color w:val="auto"/>
          <w:sz w:val="24"/>
          <w:szCs w:val="24"/>
        </w:rPr>
      </w:pPr>
      <w:r w:rsidRPr="00A11DD3">
        <w:rPr>
          <w:rFonts w:asciiTheme="majorBidi" w:hAnsiTheme="majorBidi" w:cstheme="majorBidi"/>
          <w:b/>
          <w:bCs/>
          <w:color w:val="auto"/>
          <w:sz w:val="24"/>
          <w:szCs w:val="24"/>
        </w:rPr>
        <w:t>Metode Penelitian</w:t>
      </w:r>
    </w:p>
    <w:p w14:paraId="35A5DB03"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Penelitian ini menggunakan pendekatan kualitatif deskriptif-eksploratif berbasis dokumen. Istilah “eksploratif” dipilih secara sengaja untuk menegaskan bahwa penelitian ini bertujuan memetakan pola dan menghasilkan hipotesis awal (hypothesis-generating), bukan menguji hipotesis atau hubungan kausal (hypothesis-testing) sebagaimana lazim ditemukan pada studi retensi berbasis data primer.</w:t>
      </w:r>
    </w:p>
    <w:p w14:paraId="5C15EF15"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Sumber data primer adalah Laporan Tahunan Pengurus, Pengawas, dan Pengawas Syariah Tahun Buku 2025, khususnya Catatan atas Laporan Keuangan bagian Beban Kepegawaian, Laporan Posisi Keuangan bagian Liabilitas Segera dan Dana dari SHU, serta Rencana Kerja bidang organisasi dan kelembagaan. Dokumen ini diperoleh penulis secara langsung tanpa prosedur akses formal ke pengurus koperasi maupun triangulasi wawancara, sehingga seluruh interpretasi bersandar pada teks dan angka yang tercantum dalam dokumen tersebut.</w:t>
      </w:r>
    </w:p>
    <w:p w14:paraId="24595EE2"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Analisis dilakukan melalui tiga tahap: (1) pemetaan komponen kompensasi ke dalam kerangka total rewards sebagaimana diuraikan pada Bagian II.A; (2) analisis tren tahun-ke-tahun (year-on-</w:t>
      </w:r>
      <w:r>
        <w:rPr>
          <w:rFonts w:asciiTheme="majorBidi" w:hAnsiTheme="majorBidi" w:cstheme="majorBidi"/>
          <w:sz w:val="24"/>
          <w:szCs w:val="24"/>
        </w:rPr>
        <w:lastRenderedPageBreak/>
        <w:t>year) atas nilai nominal setiap komponen kompensasi; dan (3) analisis indikator tidak langsung yang berpotensi berkaitan dengan retensi, dengan eksplorasi skenario alternatif atas setiap indikator ambigu, mengikuti prinsip kehati-hatian interpretatif yang sama seperti diterapkan pada penelitian sejenis oleh penulis pada objek kajian yang sama.</w:t>
      </w:r>
    </w:p>
    <w:p w14:paraId="0C04B05B"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Penelitian ini memiliki keterbatasan yang sangat mendasar dan menentukan cakupan simpulan yang dapat ditarik, sehingga perlu dinyatakan secara menonjol, bukan sebagai catatan penutup yang mudah terlewat. Pertama dan terpenting, tidak tersedia data turnover karyawan (jumlah karyawan masuk dan keluar per periode), sehingga penelitian ini secara fundamental tidak dapat mengukur retensi secara langsung maupun menghitung tingkat retensi atau attrition BMT Mawaddah dalam bentuk apa pun. Kedua, tidak tersedia data historis jumlah karyawan untuk Tahun Buku 2024 sebagai pembanding terhadap 124 karyawan pada 2025, sehingga penelitian ini tidak dapat memisahkan pertumbuhan beban kepegawaian akibat kenaikan kompensasi per karyawan dari pertumbuhan akibat penambahan jumlah karyawan (headcount growth). Ketiga, tidak tersedia data kepuasan kerja, exit interview, maupun survei intensi bertahan karyawan. Keempat, indikator tidak langsung yang dieksplorasi pada Bagian IV.C bersifat multitafsir sebagaimana akan dijelaskan, dan tidak boleh dibaca sebagai bukti langsung dinamika retensi. Dengan keempat keterbatasan ini, pembaca disarankan memperlakukan seluruh temuan pada Bagian IV sebagai deskripsi struktur kompensasi dan eksplorasi hipotesis awal, bukan sebagai kesimpulan tentang efektivitas retensi karyawan BMT Mawaddah.</w:t>
      </w:r>
    </w:p>
    <w:p w14:paraId="2AEE378D" w14:textId="77777777" w:rsidR="00360C40" w:rsidRPr="002B6698" w:rsidRDefault="00000000">
      <w:pPr>
        <w:pStyle w:val="Heading1"/>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IV. HASIL DAN PEMBAHASAN</w:t>
      </w:r>
    </w:p>
    <w:p w14:paraId="0FD5E14F" w14:textId="520FAE97" w:rsidR="00360C40" w:rsidRPr="002B6698" w:rsidRDefault="00000000">
      <w:pPr>
        <w:pStyle w:val="Heading2"/>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Struktur Komponen Kompensasi</w:t>
      </w:r>
    </w:p>
    <w:p w14:paraId="1B31594F"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Tabel 1 menyajikan rincian komponen beban kepegawaian BMT Mawaddah pada Tahun Buku 2025 dan 2024 sebagaimana tercatat dalam Catatan atas Laporan Keuangan.</w:t>
      </w:r>
    </w:p>
    <w:p w14:paraId="4F3BFBB9" w14:textId="77777777" w:rsidR="00360C40" w:rsidRPr="002B6698" w:rsidRDefault="00000000">
      <w:pPr>
        <w:spacing w:before="100" w:after="100"/>
        <w:jc w:val="center"/>
        <w:rPr>
          <w:rFonts w:asciiTheme="majorBidi" w:hAnsiTheme="majorBidi" w:cstheme="majorBidi"/>
          <w:sz w:val="24"/>
          <w:szCs w:val="24"/>
        </w:rPr>
      </w:pPr>
      <w:r>
        <w:rPr>
          <w:rFonts w:asciiTheme="majorBidi" w:hAnsiTheme="majorBidi" w:cstheme="majorBidi"/>
          <w:b/>
          <w:bCs/>
          <w:sz w:val="24"/>
          <w:szCs w:val="24"/>
        </w:rPr>
        <w:t>Tabel 1. Komponen Beban Kepegawaian BMT Mawaddah Tahun Buku 2024–2025</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500"/>
        <w:gridCol w:w="2500"/>
        <w:gridCol w:w="1000"/>
      </w:tblGrid>
      <w:tr w:rsidR="00360C40" w:rsidRPr="002B6698" w14:paraId="0D763106" w14:textId="77777777">
        <w:tc>
          <w:tcPr>
            <w:tcW w:w="3000" w:type="dxa"/>
            <w:shd w:val="clear" w:color="auto" w:fill="E8E8E8"/>
          </w:tcPr>
          <w:p w14:paraId="4B34C1BF" w14:textId="77777777" w:rsidR="00360C40" w:rsidRPr="002B6698" w:rsidRDefault="00000000" w:rsidP="00A11DD3">
            <w:pPr>
              <w:spacing w:line="360" w:lineRule="auto"/>
              <w:rPr>
                <w:rFonts w:asciiTheme="majorBidi" w:hAnsiTheme="majorBidi" w:cstheme="majorBidi"/>
                <w:sz w:val="24"/>
                <w:szCs w:val="24"/>
              </w:rPr>
            </w:pPr>
            <w:r>
              <w:rPr>
                <w:rFonts w:asciiTheme="majorBidi" w:hAnsiTheme="majorBidi" w:cstheme="majorBidi"/>
                <w:b/>
                <w:bCs/>
                <w:sz w:val="24"/>
                <w:szCs w:val="24"/>
              </w:rPr>
              <w:t>Komponen</w:t>
            </w:r>
          </w:p>
        </w:tc>
        <w:tc>
          <w:tcPr>
            <w:tcW w:w="2500" w:type="dxa"/>
            <w:shd w:val="clear" w:color="auto" w:fill="E8E8E8"/>
          </w:tcPr>
          <w:p w14:paraId="41F9988C"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b/>
                <w:bCs/>
                <w:sz w:val="24"/>
                <w:szCs w:val="24"/>
              </w:rPr>
              <w:t>2024 (Rp)</w:t>
            </w:r>
          </w:p>
        </w:tc>
        <w:tc>
          <w:tcPr>
            <w:tcW w:w="2500" w:type="dxa"/>
            <w:shd w:val="clear" w:color="auto" w:fill="E8E8E8"/>
          </w:tcPr>
          <w:p w14:paraId="1F5E1CBC"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b/>
                <w:bCs/>
                <w:sz w:val="24"/>
                <w:szCs w:val="24"/>
              </w:rPr>
              <w:t>2025 (Rp)</w:t>
            </w:r>
          </w:p>
        </w:tc>
        <w:tc>
          <w:tcPr>
            <w:tcW w:w="1000" w:type="dxa"/>
            <w:shd w:val="clear" w:color="auto" w:fill="E8E8E8"/>
          </w:tcPr>
          <w:p w14:paraId="78812505"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b/>
                <w:bCs/>
                <w:sz w:val="24"/>
                <w:szCs w:val="24"/>
              </w:rPr>
              <w:t>Δ%</w:t>
            </w:r>
          </w:p>
        </w:tc>
      </w:tr>
      <w:tr w:rsidR="00360C40" w:rsidRPr="002B6698" w14:paraId="3CCDDA01" w14:textId="77777777">
        <w:tc>
          <w:tcPr>
            <w:tcW w:w="3000" w:type="dxa"/>
          </w:tcPr>
          <w:p w14:paraId="0A435E91" w14:textId="77777777" w:rsidR="00360C40" w:rsidRPr="002B6698" w:rsidRDefault="00000000" w:rsidP="00A11DD3">
            <w:pPr>
              <w:spacing w:line="360" w:lineRule="auto"/>
              <w:rPr>
                <w:rFonts w:asciiTheme="majorBidi" w:hAnsiTheme="majorBidi" w:cstheme="majorBidi"/>
                <w:sz w:val="24"/>
                <w:szCs w:val="24"/>
              </w:rPr>
            </w:pPr>
            <w:r>
              <w:rPr>
                <w:rFonts w:asciiTheme="majorBidi" w:hAnsiTheme="majorBidi" w:cstheme="majorBidi"/>
                <w:sz w:val="24"/>
                <w:szCs w:val="24"/>
              </w:rPr>
              <w:t>Bisyaroh (upah pokok)</w:t>
            </w:r>
          </w:p>
        </w:tc>
        <w:tc>
          <w:tcPr>
            <w:tcW w:w="2500" w:type="dxa"/>
          </w:tcPr>
          <w:p w14:paraId="558F9AAB"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3.592.293.492</w:t>
            </w:r>
          </w:p>
        </w:tc>
        <w:tc>
          <w:tcPr>
            <w:tcW w:w="2500" w:type="dxa"/>
          </w:tcPr>
          <w:p w14:paraId="012D8298"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4.211.418.152</w:t>
            </w:r>
          </w:p>
        </w:tc>
        <w:tc>
          <w:tcPr>
            <w:tcW w:w="1000" w:type="dxa"/>
          </w:tcPr>
          <w:p w14:paraId="49F7A6FB"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+17,2%</w:t>
            </w:r>
          </w:p>
        </w:tc>
      </w:tr>
      <w:tr w:rsidR="00360C40" w:rsidRPr="002B6698" w14:paraId="5A99A8D1" w14:textId="77777777">
        <w:tc>
          <w:tcPr>
            <w:tcW w:w="3000" w:type="dxa"/>
          </w:tcPr>
          <w:p w14:paraId="4031301B" w14:textId="77777777" w:rsidR="00360C40" w:rsidRPr="002B6698" w:rsidRDefault="00000000" w:rsidP="00A11DD3">
            <w:pPr>
              <w:spacing w:line="360" w:lineRule="auto"/>
              <w:rPr>
                <w:rFonts w:asciiTheme="majorBidi" w:hAnsiTheme="majorBidi" w:cstheme="majorBidi"/>
                <w:sz w:val="24"/>
                <w:szCs w:val="24"/>
              </w:rPr>
            </w:pPr>
            <w:r>
              <w:rPr>
                <w:rFonts w:asciiTheme="majorBidi" w:hAnsiTheme="majorBidi" w:cstheme="majorBidi"/>
                <w:sz w:val="24"/>
                <w:szCs w:val="24"/>
              </w:rPr>
              <w:t>Lembur</w:t>
            </w:r>
          </w:p>
        </w:tc>
        <w:tc>
          <w:tcPr>
            <w:tcW w:w="2500" w:type="dxa"/>
          </w:tcPr>
          <w:p w14:paraId="3A0F4A2F"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44.722.250</w:t>
            </w:r>
          </w:p>
        </w:tc>
        <w:tc>
          <w:tcPr>
            <w:tcW w:w="2500" w:type="dxa"/>
          </w:tcPr>
          <w:p w14:paraId="779DC6C3"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55.017.653</w:t>
            </w:r>
          </w:p>
        </w:tc>
        <w:tc>
          <w:tcPr>
            <w:tcW w:w="1000" w:type="dxa"/>
          </w:tcPr>
          <w:p w14:paraId="7ADF10EF"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+23,0%</w:t>
            </w:r>
          </w:p>
        </w:tc>
      </w:tr>
      <w:tr w:rsidR="00360C40" w:rsidRPr="002B6698" w14:paraId="39C81212" w14:textId="77777777">
        <w:tc>
          <w:tcPr>
            <w:tcW w:w="3000" w:type="dxa"/>
          </w:tcPr>
          <w:p w14:paraId="53EE4DD7" w14:textId="77777777" w:rsidR="00360C40" w:rsidRPr="002B6698" w:rsidRDefault="00000000" w:rsidP="00A11DD3">
            <w:pPr>
              <w:spacing w:line="360" w:lineRule="auto"/>
              <w:rPr>
                <w:rFonts w:asciiTheme="majorBidi" w:hAnsiTheme="majorBidi" w:cstheme="majorBidi"/>
                <w:sz w:val="24"/>
                <w:szCs w:val="24"/>
              </w:rPr>
            </w:pPr>
            <w:r>
              <w:rPr>
                <w:rFonts w:asciiTheme="majorBidi" w:hAnsiTheme="majorBidi" w:cstheme="majorBidi"/>
                <w:sz w:val="24"/>
                <w:szCs w:val="24"/>
              </w:rPr>
              <w:t>THR &amp; Bingkisan</w:t>
            </w:r>
          </w:p>
        </w:tc>
        <w:tc>
          <w:tcPr>
            <w:tcW w:w="2500" w:type="dxa"/>
          </w:tcPr>
          <w:p w14:paraId="782D0ADE"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388.196.313</w:t>
            </w:r>
          </w:p>
        </w:tc>
        <w:tc>
          <w:tcPr>
            <w:tcW w:w="2500" w:type="dxa"/>
          </w:tcPr>
          <w:p w14:paraId="7306D7B6"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396.838.000</w:t>
            </w:r>
          </w:p>
        </w:tc>
        <w:tc>
          <w:tcPr>
            <w:tcW w:w="1000" w:type="dxa"/>
          </w:tcPr>
          <w:p w14:paraId="688E6510"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+2,2%</w:t>
            </w:r>
          </w:p>
        </w:tc>
      </w:tr>
      <w:tr w:rsidR="00360C40" w:rsidRPr="002B6698" w14:paraId="4ADAF3E2" w14:textId="77777777">
        <w:tc>
          <w:tcPr>
            <w:tcW w:w="3000" w:type="dxa"/>
          </w:tcPr>
          <w:p w14:paraId="4B6A0EA9" w14:textId="77777777" w:rsidR="00360C40" w:rsidRPr="002B6698" w:rsidRDefault="00000000" w:rsidP="00A11DD3">
            <w:pPr>
              <w:spacing w:line="360" w:lineRule="auto"/>
              <w:rPr>
                <w:rFonts w:asciiTheme="majorBidi" w:hAnsiTheme="majorBidi" w:cstheme="majorBidi"/>
                <w:sz w:val="24"/>
                <w:szCs w:val="24"/>
              </w:rPr>
            </w:pPr>
            <w:r>
              <w:rPr>
                <w:rFonts w:asciiTheme="majorBidi" w:hAnsiTheme="majorBidi" w:cstheme="majorBidi"/>
                <w:sz w:val="24"/>
                <w:szCs w:val="24"/>
              </w:rPr>
              <w:t>Bonus Kinerja</w:t>
            </w:r>
          </w:p>
        </w:tc>
        <w:tc>
          <w:tcPr>
            <w:tcW w:w="2500" w:type="dxa"/>
          </w:tcPr>
          <w:p w14:paraId="3EC1463B"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335.599.000</w:t>
            </w:r>
          </w:p>
        </w:tc>
        <w:tc>
          <w:tcPr>
            <w:tcW w:w="2500" w:type="dxa"/>
          </w:tcPr>
          <w:p w14:paraId="17B0214C"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436.020.000</w:t>
            </w:r>
          </w:p>
        </w:tc>
        <w:tc>
          <w:tcPr>
            <w:tcW w:w="1000" w:type="dxa"/>
          </w:tcPr>
          <w:p w14:paraId="5AFA2E9C"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+30,0%</w:t>
            </w:r>
          </w:p>
        </w:tc>
      </w:tr>
      <w:tr w:rsidR="00360C40" w:rsidRPr="002B6698" w14:paraId="68B09512" w14:textId="77777777">
        <w:tc>
          <w:tcPr>
            <w:tcW w:w="3000" w:type="dxa"/>
          </w:tcPr>
          <w:p w14:paraId="4CCAFD71" w14:textId="77777777" w:rsidR="00360C40" w:rsidRPr="002B6698" w:rsidRDefault="00000000" w:rsidP="00A11DD3">
            <w:pPr>
              <w:spacing w:line="360" w:lineRule="auto"/>
              <w:rPr>
                <w:rFonts w:asciiTheme="majorBidi" w:hAnsiTheme="majorBidi" w:cstheme="majorBidi"/>
                <w:sz w:val="24"/>
                <w:szCs w:val="24"/>
              </w:rPr>
            </w:pPr>
            <w:r>
              <w:rPr>
                <w:rFonts w:asciiTheme="majorBidi" w:hAnsiTheme="majorBidi" w:cstheme="majorBidi"/>
                <w:sz w:val="24"/>
                <w:szCs w:val="24"/>
              </w:rPr>
              <w:lastRenderedPageBreak/>
              <w:t>Tunjangan Hari Tua</w:t>
            </w:r>
          </w:p>
        </w:tc>
        <w:tc>
          <w:tcPr>
            <w:tcW w:w="2500" w:type="dxa"/>
          </w:tcPr>
          <w:p w14:paraId="2269B7D0"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261.395.650</w:t>
            </w:r>
          </w:p>
        </w:tc>
        <w:tc>
          <w:tcPr>
            <w:tcW w:w="2500" w:type="dxa"/>
          </w:tcPr>
          <w:p w14:paraId="4CBD5F48"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272.607.061</w:t>
            </w:r>
          </w:p>
        </w:tc>
        <w:tc>
          <w:tcPr>
            <w:tcW w:w="1000" w:type="dxa"/>
          </w:tcPr>
          <w:p w14:paraId="17FD3A41"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sz w:val="24"/>
                <w:szCs w:val="24"/>
              </w:rPr>
              <w:t>+4,3%</w:t>
            </w:r>
          </w:p>
        </w:tc>
      </w:tr>
      <w:tr w:rsidR="00360C40" w:rsidRPr="002B6698" w14:paraId="398AEEEB" w14:textId="77777777">
        <w:tc>
          <w:tcPr>
            <w:tcW w:w="3000" w:type="dxa"/>
          </w:tcPr>
          <w:p w14:paraId="5953BBFD" w14:textId="77777777" w:rsidR="00360C40" w:rsidRPr="002B6698" w:rsidRDefault="00000000" w:rsidP="00A11DD3">
            <w:pPr>
              <w:spacing w:line="360" w:lineRule="auto"/>
              <w:rPr>
                <w:rFonts w:asciiTheme="majorBidi" w:hAnsiTheme="majorBidi" w:cstheme="majorBidi"/>
                <w:sz w:val="24"/>
                <w:szCs w:val="24"/>
              </w:rPr>
            </w:pPr>
            <w:r>
              <w:rPr>
                <w:rFonts w:asciiTheme="majorBidi" w:hAnsiTheme="majorBidi" w:cstheme="majorBidi"/>
                <w:b/>
                <w:bCs/>
                <w:sz w:val="24"/>
                <w:szCs w:val="24"/>
              </w:rPr>
              <w:t>Total Beban Kepegawaian</w:t>
            </w:r>
          </w:p>
        </w:tc>
        <w:tc>
          <w:tcPr>
            <w:tcW w:w="2500" w:type="dxa"/>
          </w:tcPr>
          <w:p w14:paraId="7C5FBAB0"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b/>
                <w:bCs/>
                <w:sz w:val="24"/>
                <w:szCs w:val="24"/>
              </w:rPr>
              <w:t>4.622.206.705</w:t>
            </w:r>
          </w:p>
        </w:tc>
        <w:tc>
          <w:tcPr>
            <w:tcW w:w="2500" w:type="dxa"/>
          </w:tcPr>
          <w:p w14:paraId="7F89F3B6"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b/>
                <w:bCs/>
                <w:sz w:val="24"/>
                <w:szCs w:val="24"/>
              </w:rPr>
              <w:t>5.371.900.866</w:t>
            </w:r>
          </w:p>
        </w:tc>
        <w:tc>
          <w:tcPr>
            <w:tcW w:w="1000" w:type="dxa"/>
          </w:tcPr>
          <w:p w14:paraId="6A577E08" w14:textId="77777777" w:rsidR="00360C40" w:rsidRPr="002B6698" w:rsidRDefault="00000000" w:rsidP="00A11DD3">
            <w:pPr>
              <w:spacing w:line="360" w:lineRule="auto"/>
              <w:jc w:val="center"/>
              <w:rPr>
                <w:rFonts w:asciiTheme="majorBidi" w:hAnsiTheme="majorBidi" w:cstheme="majorBidi"/>
                <w:sz w:val="24"/>
                <w:szCs w:val="24"/>
              </w:rPr>
            </w:pPr>
            <w:r>
              <w:rPr>
                <w:rFonts w:asciiTheme="majorBidi" w:hAnsiTheme="majorBidi" w:cstheme="majorBidi"/>
                <w:b/>
                <w:bCs/>
                <w:sz w:val="24"/>
                <w:szCs w:val="24"/>
              </w:rPr>
              <w:t>+16,2%</w:t>
            </w:r>
          </w:p>
        </w:tc>
      </w:tr>
    </w:tbl>
    <w:p w14:paraId="21FC8A6F"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i/>
          <w:iCs/>
          <w:sz w:val="24"/>
          <w:szCs w:val="24"/>
        </w:rPr>
        <w:t>Sumber: Catatan atas Laporan Keuangan, Laporan RAT Tahun Buku 2025.</w:t>
      </w:r>
    </w:p>
    <w:p w14:paraId="70578EBA"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Merujuk kerangka total rewards pada Bagian II.A, struktur kompensasi BMT Mawaddah mencakup komponen kompensasi finansial langsung (bisyaroh, lembur, bonus kinerja) dan komponen kompensasi finansial tidak langsung (THR, bingkisan, tunjangan hari tua). Bisyaroh sebagai upah pokok mendominasi struktur kompensasi, mencakup sekitar 78% dari total beban kepegawaian pada tahun 2025 — sebuah proporsi yang wajar untuk struktur kompensasi berbasis gaji tetap, meskipun perbandingan terhadap benchmark proporsi ideal pada sektor sejenis memerlukan data pembanding yang tidak tersedia bagi penelitian ini.</w:t>
      </w:r>
    </w:p>
    <w:p w14:paraId="6A0B5D92"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Pertumbuhan komponen bonus kinerja yang paling tinggi (+30,0%) dibandingkan komponen lain patut dicermati sebagai sinyal kebijakan yang secara konsisten mengarah pada penguatan kompensasi berbasis kinerja (performance-based pay), meskipun penelitian ini tidak dapat memastikan apakah pertumbuhan ini mencerminkan perbaikan kinerja organisasi secara umum, perubahan formula perhitungan bonus, atau kombinasi keduanya, karena dokumen sumber tidak merinci metodologi perhitungan bonus kinerja. Total pertumbuhan beban kepegawaian sebesar 16,2% juga tidak dapat dipisahkan menjadi komponen kenaikan kompensasi per karyawan versus penambahan jumlah karyawan (headcount), karena data jumlah karyawan Tahun Buku 2024 tidak tersedia bagi penelitian ini — sebuah keterbatasan yang telah dinyatakan pada Bagian III.D.</w:t>
      </w:r>
    </w:p>
    <w:p w14:paraId="51118860" w14:textId="3E3C6815" w:rsidR="00360C40" w:rsidRPr="002B6698" w:rsidRDefault="00000000">
      <w:pPr>
        <w:pStyle w:val="Heading2"/>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Praktik Retensi Non-Moneter Berbasis Nilai Keagamaan</w:t>
      </w:r>
    </w:p>
    <w:p w14:paraId="28A998A7"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Di luar komponen kompensasi finansial, dokumen Rencana Kerja BMT Mawaddah mencantumkan sejumlah praktik yang dapat dikategorikan sebagai komponen kompensasi non-finansial atau praktik retensi non-moneter, sejalan dengan kerangka total rewards. Pertama, pelaksanaan istighosah harian sebelum memulai aktivitas kerja di seluruh tempat usaha, dengan tujuan yang dinyatakan eksplisit dalam dokumen sebagai “memohon pertolongan kepada Allah SWT agar diberi kemudahan dan keselamatan”. Kedua, program “Wisata Religi” berupa ziarah ke makam para wali, dengan tujuan yang dinyatakan eksplisit sebagai “memotivasi kinerja karyawan”. Ketiga, program “Upgrade SDM” berupa pelatihan dan studi banding untuk </w:t>
      </w:r>
      <w:r>
        <w:rPr>
          <w:rFonts w:asciiTheme="majorBidi" w:hAnsiTheme="majorBidi" w:cstheme="majorBidi"/>
          <w:sz w:val="24"/>
          <w:szCs w:val="24"/>
        </w:rPr>
        <w:lastRenderedPageBreak/>
        <w:t>“meningkatkan skill karyawan dan pelayanan”. Keempat, rencana registrasi BPJS Kesehatan dan Ketenagakerjaan sebagai kelanjutan program jaminan sosial bagi karyawan.</w:t>
      </w:r>
    </w:p>
    <w:p w14:paraId="0D5206FA"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Keempat praktik ini, jika dipetakan pada kerangka determinan retensi di Bagian II.B, menyentuh sekurang-kurangnya dua dimensi retensi di luar kompensasi finansial murni: kecocokan nilai (value fit) melalui praktik keagamaan bersama, dan kesempatan pengembangan (melalui program upgrade SDM). Akan tetapi, dokumen sumber tidak memuat data mengenai frekuensi pelaksanaan, tingkat partisipasi karyawan, atau evaluasi dampak dari praktik-praktik ini, sehingga penelitian ini hanya dapat mencatat keberadaannya sebagai bagian dari desain sistem retensi BMT Mawaddah, tanpa dapat menilai efektivitasnya.</w:t>
      </w:r>
    </w:p>
    <w:p w14:paraId="1EE2632A" w14:textId="276DD83B" w:rsidR="00360C40" w:rsidRPr="002B6698" w:rsidRDefault="00000000">
      <w:pPr>
        <w:pStyle w:val="Heading2"/>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Indikator Tidak Langsung: Liabilitas Imbalan Kerja Pascakerja</w:t>
      </w:r>
    </w:p>
    <w:p w14:paraId="6E02FA87"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Salah satu temuan yang menarik untuk ditelaah secara hati-hati adalah perubahan saldo Liabilitas Imbalan Kerja pada Laporan Posisi Keuangan, yang tercatat menurun dari Rp1.954.234.000 pada akhir Tahun Buku 2024 menjadi Rp1.430.381.802 pada akhir Tahun Buku 2025 — penurunan sebesar Rp523.852.198 atau sekitar 26,8%. Pos liabilitas ini secara akuntansi mencerminkan estimasi kewajiban organisasi kepada karyawan atas imbalan pascakerja (misalnya pesangon atau uang penghargaan masa kerja) yang telah menjadi hak karyawan namun belum dibayarkan pada tanggal pelaporan.</w:t>
      </w:r>
    </w:p>
    <w:p w14:paraId="0351F6B2"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Penurunan saldo liabilitas semacam ini secara akuntansi dapat disebabkan oleh sekurang-kurangnya tiga skenario yang berbeda maknanya bagi analisis retensi, dan tidak dapat dibedakan satu sama lain hanya dari angka neraca semata. Skenario pertama, terjadi pembayaran riil imbalan kerja kepada karyawan yang keluar pada tahun 2025, yang jika benar akan menjadi indikator tidak langsung adanya turnover karyawan pada tahun tersebut — sebuah petunjuk yang justru berlawanan dengan asumsi bahwa penguatan kompensasi (Bagian IV.A) akan menurunkan turnover. Skenario kedua, terjadi revisi asumsi aktuaria dalam perhitungan estimasi liabilitas (misalnya perubahan asumsi tingkat diskonto atau usia pensiun) yang tidak berkaitan sama sekali dengan realisasi karyawan yang keluar. Skenario ketiga, terjadi reklasifikasi pos akuntansi ke pos liabilitas lain yang tidak tercermin secara eksplisit dalam data yang tersedia bagi penelitian ini.</w:t>
      </w:r>
    </w:p>
    <w:p w14:paraId="7A71C2A2"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Dokumen sumber tidak memuat catatan aktuaria terperinci maupun data jumlah karyawan yang menerima pembayaran imbalan kerja pada tahun 2025, sehingga penelitian ini tidak dapat memilih </w:t>
      </w:r>
      <w:r>
        <w:rPr>
          <w:rFonts w:asciiTheme="majorBidi" w:hAnsiTheme="majorBidi" w:cstheme="majorBidi"/>
          <w:sz w:val="24"/>
          <w:szCs w:val="24"/>
        </w:rPr>
        <w:lastRenderedPageBreak/>
        <w:t>salah satu dari ketiga skenario tersebut sebagai penjelasan yang paling mungkin benar. Indikator ini disajikan bukan sebagai bukti adanya turnover, melainkan sebagai contoh konkret mengapa data akuntansi agregat — betapapun menariknya untuk ditelusuri — tidak dapat menggantikan data SDM primer (catatan turnover, exit interview) dalam kajian retensi karyawan yang valid secara metodologis.</w:t>
      </w:r>
    </w:p>
    <w:p w14:paraId="7944B4FD" w14:textId="1266BC7D" w:rsidR="00360C40" w:rsidRPr="002B6698" w:rsidRDefault="00000000">
      <w:pPr>
        <w:pStyle w:val="Heading2"/>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Sintesis: Batas antara Deskripsi dan Klaim Retensi</w:t>
      </w:r>
    </w:p>
    <w:p w14:paraId="5BE053A8"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Mengumpulkan seluruh temuan pada Bagian IV.A hingga IV.C, penelitian ini dapat menyimpulkan secara meyakinkan bahwa BMT Mawaddah memiliki struktur kompensasi finansial yang relatif lengkap mengikuti kerangka total rewards, mencakup komponen langsung dan tidak langsung, disertai sejumlah praktik non-moneter berbasis nilai keagamaan yang secara eksplisit dinyatakan pengurus sebagai sarana motivasi dan pengembangan karyawan. Pertumbuhan total beban kepegawaian sebesar 16,2% dan pertumbuhan komponen bonus kinerja sebesar 30,0% pada Tahun Buku 2025 mengindikasikan tren penguatan kompensasi, khususnya kompensasi berbasis kinerja.</w:t>
      </w:r>
    </w:p>
    <w:p w14:paraId="47F636B6"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Akan tetapi, penelitian ini secara tegas tidak dapat menyimpulkan bahwa penguatan kompensasi ini efektif meningkatkan retensi karyawan, karena data yang diperlukan untuk klaim tersebut — tingkat turnover, alasan karyawan keluar, atau tingkat kepuasan kerja — tidak tersedia dalam dokumen sumber. Indikator liabilitas imbalan kerja yang dieksplorasi pada Bagian IV.C, meskipun menarik, bersifat multitafsir dan tidak dapat menjadi dasar simpulan definitif. Batas ini perlu dipahami bukan sebagai kegagalan penelitian, melainkan sebagai kejujuran metodologis yang esensial: klaim retensi yang tidak didukung data retensi langsung berisiko menjadi generalisasi berlebihan (overgeneralization) yang justru merusak kredibilitas kajian, betapapun deskripsi struktur kompensasinya akurat.</w:t>
      </w:r>
    </w:p>
    <w:p w14:paraId="4B9DC66C" w14:textId="7456D355" w:rsidR="00360C40" w:rsidRPr="002B6698" w:rsidRDefault="00000000">
      <w:pPr>
        <w:pStyle w:val="Heading1"/>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SIMPULAN DAN SARAN</w:t>
      </w:r>
    </w:p>
    <w:p w14:paraId="48A3ED59" w14:textId="77777777" w:rsidR="00A11DD3" w:rsidRDefault="00000000" w:rsidP="00A11DD3">
      <w:p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BMT Mawaddah memiliki struktur kompensasi karyawan yang relatif lengkap, mencakup komponen finansial langsung dan tidak langsung, dengan tren pertumbuhan total beban kepegawaian sebesar 16,2% pada Tahun Buku 2025, didorong terutama oleh pertumbuhan komponen bonus kinerja. Ditemukan pula sejumlah praktik retensi non-moneter berbasis nilai keagamaan yang secara eksplisit ditujukan pengurus untuk memotivasi karyawan. Akan tetapi, </w:t>
      </w:r>
      <w:r>
        <w:rPr>
          <w:rFonts w:asciiTheme="majorBidi" w:hAnsiTheme="majorBidi" w:cstheme="majorBidi"/>
          <w:sz w:val="24"/>
          <w:szCs w:val="24"/>
        </w:rPr>
        <w:lastRenderedPageBreak/>
        <w:t>penelitian ini tidak dapat membuktikan efektivitas sistem kompensasi dan praktik non-moneter tersebut terhadap retensi karyawan secara empiris, karena data turnover, exit interview, dan kepuasan kerja tidak tersedia dalam dokumen sumber yang dianalisis.</w:t>
      </w:r>
    </w:p>
    <w:p w14:paraId="71AEC727" w14:textId="21A16B73" w:rsidR="00360C40" w:rsidRPr="002B6698" w:rsidRDefault="00000000" w:rsidP="00A11DD3">
      <w:pPr>
        <w:spacing w:after="200" w:line="360" w:lineRule="auto"/>
        <w:jc w:val="both"/>
        <w:rPr>
          <w:rFonts w:asciiTheme="majorBidi" w:hAnsiTheme="majorBidi" w:cstheme="majorBidi"/>
          <w:sz w:val="24"/>
          <w:szCs w:val="24"/>
        </w:rPr>
      </w:pPr>
      <w:r>
        <w:rPr>
          <w:rFonts w:asciiTheme="majorBidi" w:hAnsiTheme="majorBidi" w:cstheme="majorBidi"/>
          <w:sz w:val="24"/>
          <w:szCs w:val="24"/>
        </w:rPr>
        <w:t>Penelitian ini menyarankan agar kajian kompensasi dan retensi pada LKM syariah berbasis dokumen sekunder secara konsisten memisahkan secara eksplisit antara deskripsi struktur kompensasi (yang dapat diverifikasi dari laporan keuangan) dan klaim retensi (yang memerlukan data SDM primer), mengingat kecenderungan literatur yang kadang mencampuradukkan keduanya tanpa membedakan tingkat keyakinan epistemik masing-masing klaim.</w:t>
      </w:r>
    </w:p>
    <w:p w14:paraId="7F9C171A"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Bagi pengurus BMT Mawaddah, disarankan untuk mulai mendokumentasikan data turnover karyawan secara sistematis (jumlah masuk-keluar per cabang per periode, beserta alasan kepergian jika memungkinkan), sebagai basis data yang akan sangat bermanfaat baik untuk kepentingan manajerial internal maupun untuk mendukung evaluasi akademik yang lebih valid di masa mendatang. Disarankan pula pencatatan jumlah karyawan aktif per tahun buku secara konsisten dalam Laporan Pengurus, guna memungkinkan analisis pertumbuhan kompensasi per karyawan pada laporan periode mendatang.</w:t>
      </w:r>
    </w:p>
    <w:p w14:paraId="09C7525E" w14:textId="77777777" w:rsidR="00360C40" w:rsidRPr="002B6698" w:rsidRDefault="00000000">
      <w:pPr>
        <w:spacing w:after="200" w:line="360" w:lineRule="auto"/>
        <w:jc w:val="both"/>
        <w:rPr>
          <w:rFonts w:asciiTheme="majorBidi" w:hAnsiTheme="majorBidi" w:cstheme="majorBidi"/>
          <w:sz w:val="24"/>
          <w:szCs w:val="24"/>
        </w:rPr>
      </w:pPr>
      <w:r>
        <w:rPr>
          <w:rFonts w:asciiTheme="majorBidi" w:hAnsiTheme="majorBidi" w:cstheme="majorBidi"/>
          <w:sz w:val="24"/>
          <w:szCs w:val="24"/>
        </w:rPr>
        <w:t>Penelitian selanjutnya sangat disarankan menggunakan data primer — survei kepuasan kerja dan intensi bertahan kepada karyawan aktif, serta wawancara kepada mantan karyawan jika memungkinkan diakses — untuk menguji secara empiris hubungan antara struktur kompensasi yang telah dideskripsikan dalam penelitian ini dengan retensi karyawan yang sesungguhnya. Penelitian lanjutan juga disarankan menelusuri data jumlah karyawan multi-tahun untuk memungkinkan analisis tren headcount yang terpisah dari tren kompensasi per karyawan.</w:t>
      </w:r>
    </w:p>
    <w:p w14:paraId="3EAF9F8A" w14:textId="395C2389" w:rsidR="00360C40" w:rsidRPr="002B6698" w:rsidRDefault="00A11DD3">
      <w:pPr>
        <w:pStyle w:val="Heading1"/>
        <w:spacing w:before="300" w:after="200"/>
        <w:rPr>
          <w:rFonts w:asciiTheme="majorBidi" w:hAnsiTheme="majorBidi" w:cstheme="majorBidi"/>
          <w:color w:val="auto"/>
          <w:sz w:val="24"/>
          <w:szCs w:val="24"/>
        </w:rPr>
      </w:pPr>
      <w:r>
        <w:rPr>
          <w:rFonts w:asciiTheme="majorBidi" w:hAnsiTheme="majorBidi" w:cstheme="majorBidi"/>
          <w:b/>
          <w:bCs/>
          <w:color w:val="auto"/>
          <w:sz w:val="24"/>
          <w:szCs w:val="24"/>
        </w:rPr>
        <w:t>Daftar Pustaka</w:t>
      </w:r>
    </w:p>
    <w:p w14:paraId="72883E3B"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 xml:space="preserve">Aprilya, N. W., Amrullah, A., Parmitasari, R. D. A., &amp; Syariati, A. (2025). Exploration of the relationship between organization and individual and its influence on employee retention in Islamic perspective. </w:t>
      </w:r>
      <w:r>
        <w:rPr>
          <w:rFonts w:asciiTheme="majorBidi" w:hAnsiTheme="majorBidi" w:cstheme="majorBidi"/>
          <w:i/>
          <w:iCs/>
          <w:sz w:val="24"/>
          <w:szCs w:val="24"/>
        </w:rPr>
        <w:t>Al-Jadwa: Jurnal Studi Islam, 4</w:t>
      </w:r>
      <w:r>
        <w:rPr>
          <w:rFonts w:asciiTheme="majorBidi" w:hAnsiTheme="majorBidi" w:cstheme="majorBidi"/>
          <w:sz w:val="24"/>
          <w:szCs w:val="24"/>
        </w:rPr>
        <w:t>(2), 165–181. https://doi.org/10.38073/aljadwa.v4i2.1873</w:t>
      </w:r>
    </w:p>
    <w:p w14:paraId="1A2B3C01"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 xml:space="preserve">Armstrong, M., &amp; Brown, D. (2019). </w:t>
      </w:r>
      <w:r>
        <w:rPr>
          <w:rFonts w:asciiTheme="majorBidi" w:hAnsiTheme="majorBidi" w:cstheme="majorBidi"/>
          <w:i/>
          <w:iCs/>
          <w:sz w:val="24"/>
          <w:szCs w:val="24"/>
        </w:rPr>
        <w:t>Armstrong’s handbook of reward management practice: Improving performance through reward</w:t>
      </w:r>
      <w:r>
        <w:rPr>
          <w:rFonts w:asciiTheme="majorBidi" w:hAnsiTheme="majorBidi" w:cstheme="majorBidi"/>
          <w:sz w:val="24"/>
          <w:szCs w:val="24"/>
        </w:rPr>
        <w:t xml:space="preserve"> (6th ed.). Kogan Page.</w:t>
      </w:r>
    </w:p>
    <w:p w14:paraId="1A2B3C02"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Aziza, M. N. (2022). Analisis komitmen organisasi dalam upaya mencegah turnover karyawan (Studi kasus pada Koperasi Pesantren Daarut Tauhiid, Kota Bandung) [Skripsi, Universitas Koperasi Indonesia]. Ikopin Repository.</w:t>
      </w:r>
    </w:p>
    <w:p w14:paraId="1A2B3C03"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lastRenderedPageBreak/>
        <w:t xml:space="preserve">Barnes, C. M., Dang, C. T., Leavitt, K., Guarana, C. L., &amp; Uhlmann, E. L. (2018). Archival data in micro-organizational research: A toolkit for moving to a broader set of topics. </w:t>
      </w:r>
      <w:r>
        <w:rPr>
          <w:rFonts w:asciiTheme="majorBidi" w:hAnsiTheme="majorBidi" w:cstheme="majorBidi"/>
          <w:i/>
          <w:iCs/>
          <w:sz w:val="24"/>
          <w:szCs w:val="24"/>
        </w:rPr>
        <w:t>Journal of Management, 44</w:t>
      </w:r>
      <w:r>
        <w:rPr>
          <w:rFonts w:asciiTheme="majorBidi" w:hAnsiTheme="majorBidi" w:cstheme="majorBidi"/>
          <w:sz w:val="24"/>
          <w:szCs w:val="24"/>
        </w:rPr>
        <w:t>(4), 1453–1478. https://doi.org/10.1177/0149206315604188</w:t>
      </w:r>
    </w:p>
    <w:p w14:paraId="1A2B3C04"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 xml:space="preserve">Cull, R., Demirgüç-Kunt, A., &amp; Morduch, J. (2018). The microfinance business model: Enduring subsidy and modest profit. </w:t>
      </w:r>
      <w:r>
        <w:rPr>
          <w:rFonts w:asciiTheme="majorBidi" w:hAnsiTheme="majorBidi" w:cstheme="majorBidi"/>
          <w:i/>
          <w:iCs/>
          <w:sz w:val="24"/>
          <w:szCs w:val="24"/>
        </w:rPr>
        <w:t>The World Bank Economic Review, 32</w:t>
      </w:r>
      <w:r>
        <w:rPr>
          <w:rFonts w:asciiTheme="majorBidi" w:hAnsiTheme="majorBidi" w:cstheme="majorBidi"/>
          <w:sz w:val="24"/>
          <w:szCs w:val="24"/>
        </w:rPr>
        <w:t>(2), 221–244. https://doi.org/10.1093/wber/lhx030</w:t>
      </w:r>
    </w:p>
    <w:p w14:paraId="1A2B3C05"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 xml:space="preserve">Holtom, B. C., Mitchell, T. R., Lee, T. W., &amp; Eberly, M. B. (2008). Turnover and retention research: A glance at the past, a closer review of the present, and a venture into the future. </w:t>
      </w:r>
      <w:r>
        <w:rPr>
          <w:rFonts w:asciiTheme="majorBidi" w:hAnsiTheme="majorBidi" w:cstheme="majorBidi"/>
          <w:i/>
          <w:iCs/>
          <w:sz w:val="24"/>
          <w:szCs w:val="24"/>
        </w:rPr>
        <w:t>Academy of Management Annals, 2</w:t>
      </w:r>
      <w:r>
        <w:rPr>
          <w:rFonts w:asciiTheme="majorBidi" w:hAnsiTheme="majorBidi" w:cstheme="majorBidi"/>
          <w:sz w:val="24"/>
          <w:szCs w:val="24"/>
        </w:rPr>
        <w:t>(1), 231–274. https://doi.org/10.1080/19416520802211552</w:t>
      </w:r>
    </w:p>
    <w:p w14:paraId="1A2B3C06"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 xml:space="preserve">Isnaini, M., Fauziyah, H., Riwana, A., Unsilaturrohmah, &amp; Haryanto, R. (2023). Pengaruh pelatihan dan kompensasi terhadap kinerja karyawan BMT NU Jawa Timur. </w:t>
      </w:r>
      <w:r>
        <w:rPr>
          <w:rFonts w:asciiTheme="majorBidi" w:hAnsiTheme="majorBidi" w:cstheme="majorBidi"/>
          <w:i/>
          <w:iCs/>
          <w:sz w:val="24"/>
          <w:szCs w:val="24"/>
        </w:rPr>
        <w:t>Jurnal Media Wahana Ekonomika, 20</w:t>
      </w:r>
      <w:r>
        <w:rPr>
          <w:rFonts w:asciiTheme="majorBidi" w:hAnsiTheme="majorBidi" w:cstheme="majorBidi"/>
          <w:sz w:val="24"/>
          <w:szCs w:val="24"/>
        </w:rPr>
        <w:t>(2), 285–300. https://doi.org/10.31851/jmwe.v20i2.11364</w:t>
      </w:r>
    </w:p>
    <w:p w14:paraId="1A2B3C07"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Koperasi Al Iqtishod Lil Muamalah Mawaddah Syariah Jawa Timur. (2026). Laporan Tahunan Pengurus, Pengawas, Pengawas Syariah, dan RK-RAPBK 2026: Rapat Anggota Tahunan ke-26 Tahun Buku 2025. Pamekasan: Koperasi Al Iqtishod Lil Muamalah Mawaddah Syariah Jawa Timur.</w:t>
      </w:r>
    </w:p>
    <w:p w14:paraId="6FC85A1D"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 xml:space="preserve">Milkovich, G. T., Newman, J. M., &amp; Gerhart, B. (2020). </w:t>
      </w:r>
      <w:r>
        <w:rPr>
          <w:rFonts w:asciiTheme="majorBidi" w:hAnsiTheme="majorBidi" w:cstheme="majorBidi"/>
          <w:i/>
          <w:iCs/>
          <w:sz w:val="24"/>
          <w:szCs w:val="24"/>
        </w:rPr>
        <w:t>Compensation</w:t>
      </w:r>
      <w:r>
        <w:rPr>
          <w:rFonts w:asciiTheme="majorBidi" w:hAnsiTheme="majorBidi" w:cstheme="majorBidi"/>
          <w:sz w:val="24"/>
          <w:szCs w:val="24"/>
        </w:rPr>
        <w:t xml:space="preserve"> (12th ed.). McGraw-Hill Education.</w:t>
      </w:r>
    </w:p>
    <w:p w14:paraId="1A2B3C08"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 xml:space="preserve">Mubarok, J., &amp; Hasanudin. (2017). </w:t>
      </w:r>
      <w:r>
        <w:rPr>
          <w:rFonts w:asciiTheme="majorBidi" w:hAnsiTheme="majorBidi" w:cstheme="majorBidi"/>
          <w:i/>
          <w:iCs/>
          <w:sz w:val="24"/>
          <w:szCs w:val="24"/>
        </w:rPr>
        <w:t>Fikih mu’amalah maliyyah: Akad ijarah dan ju’alah</w:t>
      </w:r>
      <w:r>
        <w:rPr>
          <w:rFonts w:asciiTheme="majorBidi" w:hAnsiTheme="majorBidi" w:cstheme="majorBidi"/>
          <w:sz w:val="24"/>
          <w:szCs w:val="24"/>
        </w:rPr>
        <w:t>. Simbiosa Rekatama Media.</w:t>
      </w:r>
    </w:p>
    <w:p w14:paraId="1A2B3C09"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 xml:space="preserve">Naz, S., Li, C., Nisar, Q. A., Khan, M. A. S., Ahmad, N., &amp; Anwar, F. (2020). A study in the relationship between supportive work environment and employee retention: Role of organizational commitment and person–organization fit as mediators. </w:t>
      </w:r>
      <w:r>
        <w:rPr>
          <w:rFonts w:asciiTheme="majorBidi" w:hAnsiTheme="majorBidi" w:cstheme="majorBidi"/>
          <w:i/>
          <w:iCs/>
          <w:sz w:val="24"/>
          <w:szCs w:val="24"/>
        </w:rPr>
        <w:t>SAGE Open, 10</w:t>
      </w:r>
      <w:r>
        <w:rPr>
          <w:rFonts w:asciiTheme="majorBidi" w:hAnsiTheme="majorBidi" w:cstheme="majorBidi"/>
          <w:sz w:val="24"/>
          <w:szCs w:val="24"/>
        </w:rPr>
        <w:t>(2). https://doi.org/10.1177/2158244020924694</w:t>
      </w:r>
    </w:p>
    <w:p w14:paraId="1A2B3C10"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Roni, M. (2019). Pengaruh religiusitas, kepemimpinan, etos kerja, kepuasan kerja dan kompensasi terhadap kinerja karyawan dengan motivasi sebagai variabel intervening: Studi pada KSPPS BMT Nurul Ummah Ngasem Bojonegoro Jawa Timur [Tesis magister, UIN Sunan Ampel Surabaya]. Digilib UIN Sunan Ampel.</w:t>
      </w:r>
    </w:p>
    <w:p w14:paraId="7435EDF6" w14:textId="77777777" w:rsidR="00360C40" w:rsidRPr="002B6698" w:rsidRDefault="00000000" w:rsidP="00A11DD3">
      <w:pPr>
        <w:spacing w:after="200"/>
        <w:ind w:left="709" w:hanging="709"/>
        <w:jc w:val="both"/>
        <w:rPr>
          <w:rFonts w:asciiTheme="majorBidi" w:hAnsiTheme="majorBidi" w:cstheme="majorBidi"/>
          <w:sz w:val="24"/>
          <w:szCs w:val="24"/>
        </w:rPr>
      </w:pPr>
      <w:r>
        <w:rPr>
          <w:rFonts w:asciiTheme="majorBidi" w:hAnsiTheme="majorBidi" w:cstheme="majorBidi"/>
          <w:sz w:val="24"/>
          <w:szCs w:val="24"/>
        </w:rPr>
        <w:t>Undang-Undang Republik Indonesia Nomor 25 Tahun 1992 tentang Perkoperasian.</w:t>
      </w:r>
    </w:p>
    <w:sectPr w:rsidR="00360C40" w:rsidRPr="002B669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0592B"/>
    <w:multiLevelType w:val="hybridMultilevel"/>
    <w:tmpl w:val="04A81218"/>
    <w:lvl w:ilvl="0" w:tplc="8FB8EF0C">
      <w:start w:val="1"/>
      <w:numFmt w:val="bullet"/>
      <w:lvlText w:val="●"/>
      <w:lvlJc w:val="left"/>
      <w:pPr>
        <w:ind w:left="720" w:hanging="360"/>
      </w:pPr>
    </w:lvl>
    <w:lvl w:ilvl="1" w:tplc="474EE7AC">
      <w:start w:val="1"/>
      <w:numFmt w:val="bullet"/>
      <w:lvlText w:val="○"/>
      <w:lvlJc w:val="left"/>
      <w:pPr>
        <w:ind w:left="1440" w:hanging="360"/>
      </w:pPr>
    </w:lvl>
    <w:lvl w:ilvl="2" w:tplc="39364914">
      <w:start w:val="1"/>
      <w:numFmt w:val="bullet"/>
      <w:lvlText w:val="■"/>
      <w:lvlJc w:val="left"/>
      <w:pPr>
        <w:ind w:left="2160" w:hanging="360"/>
      </w:pPr>
    </w:lvl>
    <w:lvl w:ilvl="3" w:tplc="DD64C8FE">
      <w:start w:val="1"/>
      <w:numFmt w:val="bullet"/>
      <w:lvlText w:val="●"/>
      <w:lvlJc w:val="left"/>
      <w:pPr>
        <w:ind w:left="2880" w:hanging="360"/>
      </w:pPr>
    </w:lvl>
    <w:lvl w:ilvl="4" w:tplc="5666FDB6">
      <w:start w:val="1"/>
      <w:numFmt w:val="bullet"/>
      <w:lvlText w:val="○"/>
      <w:lvlJc w:val="left"/>
      <w:pPr>
        <w:ind w:left="3600" w:hanging="360"/>
      </w:pPr>
    </w:lvl>
    <w:lvl w:ilvl="5" w:tplc="C7A457C4">
      <w:start w:val="1"/>
      <w:numFmt w:val="bullet"/>
      <w:lvlText w:val="■"/>
      <w:lvlJc w:val="left"/>
      <w:pPr>
        <w:ind w:left="4320" w:hanging="360"/>
      </w:pPr>
    </w:lvl>
    <w:lvl w:ilvl="6" w:tplc="57D02ADE">
      <w:start w:val="1"/>
      <w:numFmt w:val="bullet"/>
      <w:lvlText w:val="●"/>
      <w:lvlJc w:val="left"/>
      <w:pPr>
        <w:ind w:left="5040" w:hanging="360"/>
      </w:pPr>
    </w:lvl>
    <w:lvl w:ilvl="7" w:tplc="FD3206E2">
      <w:start w:val="1"/>
      <w:numFmt w:val="bullet"/>
      <w:lvlText w:val="●"/>
      <w:lvlJc w:val="left"/>
      <w:pPr>
        <w:ind w:left="5760" w:hanging="360"/>
      </w:pPr>
    </w:lvl>
    <w:lvl w:ilvl="8" w:tplc="8572DF3C">
      <w:start w:val="1"/>
      <w:numFmt w:val="bullet"/>
      <w:lvlText w:val="●"/>
      <w:lvlJc w:val="left"/>
      <w:pPr>
        <w:ind w:left="6480" w:hanging="360"/>
      </w:pPr>
    </w:lvl>
  </w:abstractNum>
  <w:num w:numId="1" w16cid:durableId="7246467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C40"/>
    <w:rsid w:val="002B6698"/>
    <w:rsid w:val="00360C40"/>
    <w:rsid w:val="00553591"/>
    <w:rsid w:val="00A11DD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4CA66"/>
  <w15:docId w15:val="{69D04D66-E792-49E0-B402-57E0BF40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4183</Words>
  <Characters>23848</Characters>
  <Application>Microsoft Office Word</Application>
  <DocSecurity>0</DocSecurity>
  <Lines>198</Lines>
  <Paragraphs>55</Paragraphs>
  <ScaleCrop>false</ScaleCrop>
  <Company/>
  <LinksUpToDate>false</LinksUpToDate>
  <CharactersWithSpaces>27976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WAKIL REKTOR II</cp:lastModifiedBy>
  <cp:revision>3</cp:revision>
  <dcterms:created xsi:type="dcterms:W3CDTF">2026-07-30T03:35:00Z</dcterms:created>
  <dcterms:modified xsi:type="dcterms:W3CDTF">2026-08-10T14:25:00Z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a1a9531d-cfce-4b60-95b7-592955f94139</vt:lpwstr>
  </property>
</Properties>
</file>