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0CE45" w14:textId="75B38CF8" w:rsidR="00516926" w:rsidRPr="000E4773" w:rsidRDefault="00E80996" w:rsidP="00E80996">
      <w:pPr>
        <w:spacing w:after="300"/>
        <w:jc w:val="center"/>
      </w:pPr>
      <w:r w:rsidRPr="000E4773">
        <w:rPr>
          <w:b/>
          <w:bCs/>
          <w:sz w:val="30"/>
          <w:szCs w:val="30"/>
        </w:rPr>
        <w:t>Strategic Triangle Pada Lembaga Keuangan Mikro Syariah Berbasis Pesantren: Studi Kasus Koperasi Al Iqtishod Lil Muamalah Mawaddah Syariah Jawa Timur</w:t>
      </w:r>
    </w:p>
    <w:p w14:paraId="43F5CE1E" w14:textId="58D64760" w:rsidR="00151265" w:rsidRPr="000E4773" w:rsidRDefault="00E22AB7" w:rsidP="000E4773">
      <w:pPr>
        <w:spacing w:after="100" w:line="360" w:lineRule="auto"/>
        <w:jc w:val="center"/>
      </w:pPr>
      <w:r w:rsidRPr="000E4773">
        <w:rPr>
          <w:sz w:val="24"/>
          <w:szCs w:val="24"/>
        </w:rPr>
        <w:t>Abdurrahman Rifki¹</w:t>
      </w:r>
      <w:r w:rsidR="00211EF1" w:rsidRPr="000E4773">
        <w:rPr>
          <w:sz w:val="24"/>
          <w:szCs w:val="24"/>
        </w:rPr>
        <w:t xml:space="preserve">, </w:t>
      </w:r>
      <w:r w:rsidR="00151265" w:rsidRPr="000E4773">
        <w:rPr>
          <w:sz w:val="24"/>
          <w:szCs w:val="24"/>
        </w:rPr>
        <w:t>Maqbul Sholeh</w:t>
      </w:r>
      <w:r w:rsidR="00211EF1" w:rsidRPr="000E4773">
        <w:rPr>
          <w:sz w:val="24"/>
          <w:szCs w:val="24"/>
          <w:vertAlign w:val="superscript"/>
        </w:rPr>
        <w:t>1</w:t>
      </w:r>
    </w:p>
    <w:p w14:paraId="2BCB7D83" w14:textId="2FC68F2D" w:rsidR="00151265" w:rsidRPr="000E4773" w:rsidRDefault="00000000" w:rsidP="000E4773">
      <w:pPr>
        <w:spacing w:after="400" w:line="360" w:lineRule="auto"/>
        <w:jc w:val="center"/>
        <w:rPr>
          <w:i/>
          <w:iCs/>
          <w:sz w:val="22"/>
          <w:szCs w:val="22"/>
        </w:rPr>
      </w:pPr>
      <w:r w:rsidRPr="000E4773">
        <w:rPr>
          <w:i/>
          <w:iCs/>
          <w:sz w:val="22"/>
          <w:szCs w:val="22"/>
        </w:rPr>
        <w:t>¹Program Studi Manajemen Dakwah, IAI Miftahul Ulum Pamekasan, Indonesia.</w:t>
      </w:r>
    </w:p>
    <w:p w14:paraId="2F69C294" w14:textId="04518D0D" w:rsidR="00151265" w:rsidRPr="000E4773" w:rsidRDefault="003E0094" w:rsidP="000E4773">
      <w:pPr>
        <w:spacing w:after="400" w:line="360" w:lineRule="auto"/>
        <w:jc w:val="center"/>
      </w:pPr>
      <w:r w:rsidRPr="000E4773">
        <w:rPr>
          <w:i/>
          <w:iCs/>
          <w:sz w:val="22"/>
          <w:szCs w:val="22"/>
        </w:rPr>
        <w:t xml:space="preserve"> </w:t>
      </w:r>
      <w:hyperlink r:id="rId6" w:history="1">
        <w:r w:rsidR="00211EF1" w:rsidRPr="000E4773">
          <w:rPr>
            <w:rStyle w:val="Hyperlink"/>
            <w:color w:val="auto"/>
            <w:sz w:val="22"/>
            <w:szCs w:val="22"/>
          </w:rPr>
          <w:t>rrifkiunozero@gmail.com</w:t>
        </w:r>
      </w:hyperlink>
      <w:r w:rsidRPr="000E4773">
        <w:rPr>
          <w:sz w:val="22"/>
          <w:szCs w:val="22"/>
        </w:rPr>
        <w:t xml:space="preserve"> </w:t>
      </w:r>
    </w:p>
    <w:p w14:paraId="761EF7C7" w14:textId="77777777" w:rsidR="00516926" w:rsidRPr="000E4773" w:rsidRDefault="00000000" w:rsidP="000E4773">
      <w:pPr>
        <w:pStyle w:val="Heading1"/>
        <w:spacing w:before="300" w:after="200" w:line="360" w:lineRule="auto"/>
        <w:rPr>
          <w:color w:val="auto"/>
        </w:rPr>
      </w:pPr>
      <w:r w:rsidRPr="000E4773">
        <w:rPr>
          <w:b/>
          <w:bCs/>
          <w:color w:val="auto"/>
          <w:sz w:val="26"/>
          <w:szCs w:val="26"/>
        </w:rPr>
        <w:t>ABSTRAK</w:t>
      </w:r>
    </w:p>
    <w:p w14:paraId="1F11BABA" w14:textId="77777777" w:rsidR="000E4773" w:rsidRPr="000E4773" w:rsidRDefault="000E4773" w:rsidP="000E4773">
      <w:pPr>
        <w:spacing w:after="200" w:line="360" w:lineRule="auto"/>
        <w:jc w:val="both"/>
        <w:rPr>
          <w:sz w:val="24"/>
          <w:szCs w:val="24"/>
        </w:rPr>
      </w:pPr>
      <w:r w:rsidRPr="000E4773">
        <w:rPr>
          <w:sz w:val="24"/>
          <w:szCs w:val="24"/>
        </w:rPr>
        <w:t xml:space="preserve">KSPPS berbasis pesantren merupakan organisasi hibrida yang mengemban mandat ganda, yaitu fungsi bisnis melalui Baitul Tamwil dan fungsi sosial-keagamaan melalui Baitul Maal, sehingga ketegangan antara orientasi keberlanjutan usaha dan misi sosial menjadi tantangan manajerial yang khas. Penelitian ini menganalisis keseimbangan tiga elemen </w:t>
      </w:r>
      <w:r w:rsidRPr="000E4773">
        <w:rPr>
          <w:i/>
          <w:iCs/>
          <w:sz w:val="24"/>
          <w:szCs w:val="24"/>
        </w:rPr>
        <w:t>Strategic Triangle</w:t>
      </w:r>
      <w:r w:rsidRPr="000E4773">
        <w:rPr>
          <w:sz w:val="24"/>
          <w:szCs w:val="24"/>
        </w:rPr>
        <w:t xml:space="preserve"> — </w:t>
      </w:r>
      <w:r w:rsidRPr="000E4773">
        <w:rPr>
          <w:i/>
          <w:iCs/>
          <w:sz w:val="24"/>
          <w:szCs w:val="24"/>
        </w:rPr>
        <w:t>legitimacy and support</w:t>
      </w:r>
      <w:r w:rsidRPr="000E4773">
        <w:rPr>
          <w:sz w:val="24"/>
          <w:szCs w:val="24"/>
        </w:rPr>
        <w:t xml:space="preserve">, </w:t>
      </w:r>
      <w:r w:rsidRPr="000E4773">
        <w:rPr>
          <w:i/>
          <w:iCs/>
          <w:sz w:val="24"/>
          <w:szCs w:val="24"/>
        </w:rPr>
        <w:t>public value</w:t>
      </w:r>
      <w:r w:rsidRPr="000E4773">
        <w:rPr>
          <w:sz w:val="24"/>
          <w:szCs w:val="24"/>
        </w:rPr>
        <w:t xml:space="preserve">, dan </w:t>
      </w:r>
      <w:r w:rsidRPr="000E4773">
        <w:rPr>
          <w:i/>
          <w:iCs/>
          <w:sz w:val="24"/>
          <w:szCs w:val="24"/>
        </w:rPr>
        <w:t>operational capacity</w:t>
      </w:r>
      <w:r w:rsidRPr="000E4773">
        <w:rPr>
          <w:sz w:val="24"/>
          <w:szCs w:val="24"/>
        </w:rPr>
        <w:t xml:space="preserve"> — pada Koperasi Al Iqtishod Lil Muamalah Mawaddah Syariah Jawa Timur (BMT Mawaddah) dengan pendekatan studi kasus kualitatif deskriptif berbasis dokumen Laporan Pertanggungjawaban RAT Tahun Buku 2025. Analisis isi dilakukan secara terstruktur sesuai kategori </w:t>
      </w:r>
      <w:r w:rsidRPr="000E4773">
        <w:rPr>
          <w:i/>
          <w:iCs/>
          <w:sz w:val="24"/>
          <w:szCs w:val="24"/>
        </w:rPr>
        <w:t>Strategic Triangle</w:t>
      </w:r>
      <w:r w:rsidRPr="000E4773">
        <w:rPr>
          <w:sz w:val="24"/>
          <w:szCs w:val="24"/>
        </w:rPr>
        <w:t xml:space="preserve"> dan dilanjutkan dengan telaah keseimbangan antarelemen. Temuan menunjukkan bahwa BMT Mawaddah memiliki legitimasi berlapis (hukum, keagamaan, dan akuntabilitas publik) serta kapasitas operasional yang relatif memadai, namun perlambatan pertumbuhan keanggotaan mengindikasikan potensi ketimpangan pada elemen penciptaan nilai publik, khususnya dari sisi perluasan jangkauan (</w:t>
      </w:r>
      <w:r w:rsidRPr="000E4773">
        <w:rPr>
          <w:i/>
          <w:iCs/>
          <w:sz w:val="24"/>
          <w:szCs w:val="24"/>
        </w:rPr>
        <w:t>outreach</w:t>
      </w:r>
      <w:r w:rsidRPr="000E4773">
        <w:rPr>
          <w:sz w:val="24"/>
          <w:szCs w:val="24"/>
        </w:rPr>
        <w:t xml:space="preserve">). Penelitian ini berkontribusi memperluas aplikasi kerangka </w:t>
      </w:r>
      <w:r w:rsidRPr="000E4773">
        <w:rPr>
          <w:i/>
          <w:iCs/>
          <w:sz w:val="24"/>
          <w:szCs w:val="24"/>
        </w:rPr>
        <w:t>Strategic Triangle</w:t>
      </w:r>
      <w:r w:rsidRPr="000E4773">
        <w:rPr>
          <w:sz w:val="24"/>
          <w:szCs w:val="24"/>
        </w:rPr>
        <w:t xml:space="preserve"> ke konteks organisasi hibrida berbasis nilai keagamaan di Indonesia, sekaligus menyediakan basis empiris bagi pengurus koperasi syariah berbasis pesantren untuk mengevaluasi keseimbangan strategis kelembagaannya secara lebih transparan dan reflektif.</w:t>
      </w:r>
    </w:p>
    <w:p w14:paraId="35D611B8" w14:textId="25296114" w:rsidR="00516926" w:rsidRPr="000E4773" w:rsidRDefault="00000000" w:rsidP="000E4773">
      <w:pPr>
        <w:spacing w:after="200" w:line="360" w:lineRule="auto"/>
        <w:jc w:val="both"/>
      </w:pPr>
      <w:r w:rsidRPr="000E4773">
        <w:rPr>
          <w:b/>
          <w:bCs/>
          <w:sz w:val="24"/>
          <w:szCs w:val="24"/>
        </w:rPr>
        <w:t xml:space="preserve">Kata kunci: </w:t>
      </w:r>
      <w:r w:rsidRPr="000E4773">
        <w:rPr>
          <w:sz w:val="24"/>
          <w:szCs w:val="24"/>
        </w:rPr>
        <w:t>Strategic Triangle; public value; koperasi syariah; Baitul Maal wat Tamwil; pesantren</w:t>
      </w:r>
    </w:p>
    <w:p w14:paraId="70728CB8" w14:textId="77777777" w:rsidR="00516926" w:rsidRPr="000E4773" w:rsidRDefault="00000000" w:rsidP="000E4773">
      <w:pPr>
        <w:pStyle w:val="Heading1"/>
        <w:spacing w:before="300" w:after="200" w:line="360" w:lineRule="auto"/>
        <w:rPr>
          <w:color w:val="auto"/>
        </w:rPr>
      </w:pPr>
      <w:r w:rsidRPr="000E4773">
        <w:rPr>
          <w:b/>
          <w:bCs/>
          <w:color w:val="auto"/>
          <w:sz w:val="26"/>
          <w:szCs w:val="26"/>
        </w:rPr>
        <w:t>ABSTRACT</w:t>
      </w:r>
    </w:p>
    <w:p w14:paraId="22F3CBB6" w14:textId="77777777" w:rsidR="000E4773" w:rsidRPr="000E4773" w:rsidRDefault="000E4773" w:rsidP="000E4773">
      <w:pPr>
        <w:spacing w:after="200" w:line="360" w:lineRule="auto"/>
        <w:jc w:val="both"/>
        <w:rPr>
          <w:sz w:val="24"/>
          <w:szCs w:val="24"/>
        </w:rPr>
      </w:pPr>
      <w:r w:rsidRPr="000E4773">
        <w:rPr>
          <w:sz w:val="24"/>
          <w:szCs w:val="24"/>
        </w:rPr>
        <w:t xml:space="preserve">Pesantren-based KSPPS are hybrid organizations that carry a dual mandate: a business function through Baitul Tamwil and a socio-religious function through Baitul Maal. The tension between </w:t>
      </w:r>
      <w:r w:rsidRPr="000E4773">
        <w:rPr>
          <w:sz w:val="24"/>
          <w:szCs w:val="24"/>
        </w:rPr>
        <w:lastRenderedPageBreak/>
        <w:t xml:space="preserve">sustainability and social mission creates unique managerial challenges, yet Moore’s </w:t>
      </w:r>
      <w:r w:rsidRPr="000E4773">
        <w:rPr>
          <w:i/>
          <w:iCs/>
          <w:sz w:val="24"/>
          <w:szCs w:val="24"/>
        </w:rPr>
        <w:t>Strategic Triangle</w:t>
      </w:r>
      <w:r w:rsidRPr="000E4773">
        <w:rPr>
          <w:sz w:val="24"/>
          <w:szCs w:val="24"/>
        </w:rPr>
        <w:t xml:space="preserve"> framework—commonly applied in public sector organizations—has rarely been tested in the context of Islamic microfinance institutions in Indonesia. This study analyzes the balance of the three elements of the </w:t>
      </w:r>
      <w:r w:rsidRPr="000E4773">
        <w:rPr>
          <w:i/>
          <w:iCs/>
          <w:sz w:val="24"/>
          <w:szCs w:val="24"/>
        </w:rPr>
        <w:t>Strategic Triangle</w:t>
      </w:r>
      <w:r w:rsidRPr="000E4773">
        <w:rPr>
          <w:sz w:val="24"/>
          <w:szCs w:val="24"/>
        </w:rPr>
        <w:t xml:space="preserve">—legitimacy and support, public value, and operational capacity—at Koperasi Al Iqtishod Lil Muamalah Mawaddah Syariah Jawa Timur (BMT Mawaddah). Using a qualitative descriptive case study approach, the primary data source is the Annual Accountability Report (RAT) for the 2025 fiscal year, including reports from management, supervisory boards, the Sharia Supervisory Board, and audited financial statements. Content analysis was conducted systematically within the three categories of the </w:t>
      </w:r>
      <w:r w:rsidRPr="000E4773">
        <w:rPr>
          <w:i/>
          <w:iCs/>
          <w:sz w:val="24"/>
          <w:szCs w:val="24"/>
        </w:rPr>
        <w:t>Strategic Triangle</w:t>
      </w:r>
      <w:r w:rsidRPr="000E4773">
        <w:rPr>
          <w:sz w:val="24"/>
          <w:szCs w:val="24"/>
        </w:rPr>
        <w:t xml:space="preserve">, followed by an assessment of their interrelationships. Findings indicate that BMT Mawaddah enjoys layered legitimacy (legal, religious, and public accountability) and relatively adequate operational capacity, yet the slowdown in membership growth suggests potential imbalance in the creation of public value, particularly in terms of outreach. This study contributes to extending the application of the </w:t>
      </w:r>
      <w:r w:rsidRPr="000E4773">
        <w:rPr>
          <w:i/>
          <w:iCs/>
          <w:sz w:val="24"/>
          <w:szCs w:val="24"/>
        </w:rPr>
        <w:t>Strategic Triangle</w:t>
      </w:r>
      <w:r w:rsidRPr="000E4773">
        <w:rPr>
          <w:sz w:val="24"/>
          <w:szCs w:val="24"/>
        </w:rPr>
        <w:t xml:space="preserve"> to faith-based hybrid organizations in Indonesia, while also providing an empirical basis for cooperative leaders to critically evaluate the strategic equilibrium of their institutions.</w:t>
      </w:r>
    </w:p>
    <w:p w14:paraId="4A40DB44" w14:textId="20064952" w:rsidR="00516926" w:rsidRPr="000E4773" w:rsidRDefault="00000000" w:rsidP="000E4773">
      <w:pPr>
        <w:spacing w:after="200" w:line="360" w:lineRule="auto"/>
        <w:jc w:val="both"/>
      </w:pPr>
      <w:r w:rsidRPr="000E4773">
        <w:rPr>
          <w:b/>
          <w:bCs/>
          <w:sz w:val="24"/>
          <w:szCs w:val="24"/>
        </w:rPr>
        <w:t xml:space="preserve">Keywords: </w:t>
      </w:r>
      <w:r w:rsidRPr="000E4773">
        <w:rPr>
          <w:sz w:val="24"/>
          <w:szCs w:val="24"/>
        </w:rPr>
        <w:t>Strategic Triangle; public value; Islamic cooperative; Baitul Maal wat Tamwil; pesantren</w:t>
      </w:r>
    </w:p>
    <w:p w14:paraId="3528A0E3" w14:textId="687BFD26" w:rsidR="00516926" w:rsidRPr="000E4773" w:rsidRDefault="00000000" w:rsidP="000E4773">
      <w:pPr>
        <w:pStyle w:val="Heading1"/>
        <w:spacing w:before="300" w:after="200" w:line="360" w:lineRule="auto"/>
        <w:rPr>
          <w:color w:val="auto"/>
        </w:rPr>
      </w:pPr>
      <w:r w:rsidRPr="000E4773">
        <w:rPr>
          <w:b/>
          <w:bCs/>
          <w:color w:val="auto"/>
          <w:sz w:val="26"/>
          <w:szCs w:val="26"/>
        </w:rPr>
        <w:t>I. PENDAHULUAN</w:t>
      </w:r>
    </w:p>
    <w:p w14:paraId="6EC163D8" w14:textId="6CDA2B9F" w:rsidR="00775038" w:rsidRPr="000E4773" w:rsidRDefault="00775038" w:rsidP="000E4773">
      <w:pPr>
        <w:spacing w:after="200" w:line="360" w:lineRule="auto"/>
        <w:jc w:val="both"/>
        <w:rPr>
          <w:sz w:val="24"/>
          <w:szCs w:val="24"/>
        </w:rPr>
      </w:pPr>
      <w:r w:rsidRPr="000E4773">
        <w:rPr>
          <w:sz w:val="24"/>
          <w:szCs w:val="24"/>
        </w:rPr>
        <w:t xml:space="preserve">Koperasi Simpan Pinjam dan Pembiayaan Syariah (KSPPS)—atau yang lebih populer disebut Baitul Maal wat Tamwil (BMT)—telah menjadi salah satu instrumen pemberdayaan ekonomi umat yang tumbuh signifikan di lingkungan pesantren Indonesia. BMT berbeda dari lembaga keuangan mikro konvensional karena mengemban dua fungsi sekaligus dalam satu entitas: </w:t>
      </w:r>
      <w:r w:rsidRPr="000E4773">
        <w:rPr>
          <w:i/>
          <w:iCs/>
          <w:sz w:val="24"/>
          <w:szCs w:val="24"/>
        </w:rPr>
        <w:t>Baitul Tamwil</w:t>
      </w:r>
      <w:r w:rsidRPr="000E4773">
        <w:rPr>
          <w:sz w:val="24"/>
          <w:szCs w:val="24"/>
        </w:rPr>
        <w:t xml:space="preserve"> yang berorientasi bisnis melalui penghimpunan dan penyaluran dana secara produktif, serta </w:t>
      </w:r>
      <w:r w:rsidRPr="000E4773">
        <w:rPr>
          <w:i/>
          <w:iCs/>
          <w:sz w:val="24"/>
          <w:szCs w:val="24"/>
        </w:rPr>
        <w:t>Baitul Maal</w:t>
      </w:r>
      <w:r w:rsidRPr="000E4773">
        <w:rPr>
          <w:sz w:val="24"/>
          <w:szCs w:val="24"/>
        </w:rPr>
        <w:t xml:space="preserve"> yang berorientasi sosial melalui pengelolaan dana zakat, infak, sedekah, dan wakaf (ZISWAF) (Soelton et al., 2021). Karakter dwifungsi ini menempatkan BMT sebagai organisasi hibrida (</w:t>
      </w:r>
      <w:r w:rsidRPr="000E4773">
        <w:rPr>
          <w:i/>
          <w:iCs/>
          <w:sz w:val="24"/>
          <w:szCs w:val="24"/>
        </w:rPr>
        <w:t>hybrid organization</w:t>
      </w:r>
      <w:r w:rsidRPr="000E4773">
        <w:rPr>
          <w:sz w:val="24"/>
          <w:szCs w:val="24"/>
        </w:rPr>
        <w:t>) yang harus menyeimbangkan dua logika institusional yang berbeda: logika pasar yang menuntut efisiensi dan profitabilitas, serta logika filantropi-keagamaan yang menuntut keberpihakan sosial (Anwar et al., 2023).</w:t>
      </w:r>
    </w:p>
    <w:p w14:paraId="0C20584C" w14:textId="5E3128D5" w:rsidR="00775038" w:rsidRPr="000E4773" w:rsidRDefault="00775038" w:rsidP="000E4773">
      <w:pPr>
        <w:spacing w:after="200" w:line="360" w:lineRule="auto"/>
        <w:jc w:val="both"/>
        <w:rPr>
          <w:sz w:val="24"/>
          <w:szCs w:val="24"/>
        </w:rPr>
      </w:pPr>
      <w:r w:rsidRPr="000E4773">
        <w:rPr>
          <w:sz w:val="24"/>
          <w:szCs w:val="24"/>
        </w:rPr>
        <w:lastRenderedPageBreak/>
        <w:t xml:space="preserve">Paradoks antara kedua orientasi tersebut menjadi tantangan manajerial klasik pada organisasi hibrida. Pertanyaan mendasar muncul: bagaimana organisasi semacam ini mendefinisikan nilai yang hendak diciptakannya, dari mana ia memperoleh legitimasi dan dukungan para pemangku kepentingan, serta bagaimana kapasitas operasionalnya mendukung pencapaian nilai tersebut. Kerangka </w:t>
      </w:r>
      <w:r w:rsidRPr="000E4773">
        <w:rPr>
          <w:i/>
          <w:iCs/>
          <w:sz w:val="24"/>
          <w:szCs w:val="24"/>
        </w:rPr>
        <w:t>Strategic Triangle</w:t>
      </w:r>
      <w:r w:rsidRPr="000E4773">
        <w:rPr>
          <w:sz w:val="24"/>
          <w:szCs w:val="24"/>
        </w:rPr>
        <w:t xml:space="preserve"> yang dikembangkan oleh Moore (1995) menawarkan alat analisis yang relevan untuk menjawab pertanyaan ini, karena secara eksplisit menempatkan keseimbangan antara </w:t>
      </w:r>
      <w:r w:rsidRPr="000E4773">
        <w:rPr>
          <w:i/>
          <w:iCs/>
          <w:sz w:val="24"/>
          <w:szCs w:val="24"/>
        </w:rPr>
        <w:t>public value</w:t>
      </w:r>
      <w:r w:rsidRPr="000E4773">
        <w:rPr>
          <w:sz w:val="24"/>
          <w:szCs w:val="24"/>
        </w:rPr>
        <w:t xml:space="preserve">, </w:t>
      </w:r>
      <w:r w:rsidRPr="000E4773">
        <w:rPr>
          <w:i/>
          <w:iCs/>
          <w:sz w:val="24"/>
          <w:szCs w:val="24"/>
        </w:rPr>
        <w:t>legitimacy and support</w:t>
      </w:r>
      <w:r w:rsidRPr="000E4773">
        <w:rPr>
          <w:sz w:val="24"/>
          <w:szCs w:val="24"/>
        </w:rPr>
        <w:t xml:space="preserve">, dan </w:t>
      </w:r>
      <w:r w:rsidRPr="000E4773">
        <w:rPr>
          <w:i/>
          <w:iCs/>
          <w:sz w:val="24"/>
          <w:szCs w:val="24"/>
        </w:rPr>
        <w:t>operational capacity</w:t>
      </w:r>
      <w:r w:rsidRPr="000E4773">
        <w:rPr>
          <w:sz w:val="24"/>
          <w:szCs w:val="24"/>
        </w:rPr>
        <w:t xml:space="preserve"> sebagai syarat keberhasilan strategi organisasi.</w:t>
      </w:r>
    </w:p>
    <w:p w14:paraId="4FE814C7" w14:textId="4BA9F4C6" w:rsidR="00775038" w:rsidRPr="000E4773" w:rsidRDefault="00775038" w:rsidP="000E4773">
      <w:pPr>
        <w:spacing w:after="200" w:line="360" w:lineRule="auto"/>
        <w:jc w:val="both"/>
        <w:rPr>
          <w:sz w:val="24"/>
          <w:szCs w:val="24"/>
        </w:rPr>
      </w:pPr>
      <w:r w:rsidRPr="000E4773">
        <w:rPr>
          <w:sz w:val="24"/>
          <w:szCs w:val="24"/>
        </w:rPr>
        <w:t>Kerangka ini pada mulanya dikembangkan untuk konteks manajemen sektor publik di negara maju dan telah banyak diaplikasikan pada organisasi pemerintah maupun organisasi nirlaba di lingkungan Barat. Aplikasinya pada konteks lembaga keuangan syariah berbasis pesantren di Indonesia—yang memiliki struktur legitimasi berlapis (hukum negara, fatwa syariah, dan otoritas kultural pesantren) serta model penciptaan nilai yang menggabungkan dimensi ekonomi dan dimensi ibadah sosial—masih jarang dieksplorasi dalam literatur akademik nasional. Kekosongan ini menjadi celah (</w:t>
      </w:r>
      <w:r w:rsidRPr="000E4773">
        <w:rPr>
          <w:i/>
          <w:iCs/>
          <w:sz w:val="24"/>
          <w:szCs w:val="24"/>
        </w:rPr>
        <w:t>gap</w:t>
      </w:r>
      <w:r w:rsidRPr="000E4773">
        <w:rPr>
          <w:sz w:val="24"/>
          <w:szCs w:val="24"/>
        </w:rPr>
        <w:t>) yang hendak diisi oleh penelitian ini.</w:t>
      </w:r>
    </w:p>
    <w:p w14:paraId="157206D7" w14:textId="1C1A64B7" w:rsidR="00775038" w:rsidRPr="000E4773" w:rsidRDefault="00775038" w:rsidP="000E4773">
      <w:pPr>
        <w:spacing w:after="200" w:line="360" w:lineRule="auto"/>
        <w:jc w:val="both"/>
        <w:rPr>
          <w:sz w:val="24"/>
          <w:szCs w:val="24"/>
        </w:rPr>
      </w:pPr>
      <w:r w:rsidRPr="000E4773">
        <w:rPr>
          <w:sz w:val="24"/>
          <w:szCs w:val="24"/>
        </w:rPr>
        <w:t>Koperasi Al Iqtishod Lil Muamalah Mawaddah Syariah Jawa Timur, yang dikenal dengan nama BMT Mawaddah, dipilih sebagai objek studi karena merepresentasikan karakteristik tersebut secara eksplisit. Koperasi ini berbadan hukum sejak tahun 1994, bernaung di bawah Pondok Pesantren Miftahul Ulum Panyepen, Pamekasan, dan pada Tahun Buku 2025 tercatat memiliki 47.547 anggota, mengelola total aset senilai Rp421.722.855.436, serta beroperasi melalui 18 kantor cabang yang tersebar di wilayah Pamekasan, Sampang, dan Pandaan. Pada tahun yang sama, koperasi ini juga menyelesaikan proses transisi kelembagaan dari koperasi konsumen menjadi Koperasi Simpan Pinjam dan Pembiayaan Syariah (KSPPS), mengikuti anjuran Dinas Koperasi Provinsi Jawa Timur dan ketentuan Kementerian Koperasi dan UKM.</w:t>
      </w:r>
    </w:p>
    <w:p w14:paraId="527D12D6" w14:textId="2630D451" w:rsidR="00775038" w:rsidRPr="000E4773" w:rsidRDefault="00775038" w:rsidP="000E4773">
      <w:pPr>
        <w:spacing w:after="200" w:line="360" w:lineRule="auto"/>
        <w:jc w:val="both"/>
        <w:rPr>
          <w:sz w:val="24"/>
          <w:szCs w:val="24"/>
        </w:rPr>
      </w:pPr>
      <w:r w:rsidRPr="000E4773">
        <w:rPr>
          <w:sz w:val="24"/>
          <w:szCs w:val="24"/>
        </w:rPr>
        <w:t xml:space="preserve">Berdasarkan latar belakang tersebut, penelitian ini mengajukan empat pertanyaan utama yang menjadi fokus kajian, yaitu bagaimana BMT Mawaddah membangun legitimasi dan dukungan dari para pemangku kepentingannya yang beragam; bagaimana organisasi ini mendefinisikan dan menciptakan nilai publik dalam operasionalnya pada dimensi ekonomi maupun sosial-keagamaan; bagaimana kapasitas operasionalnya mendukung pencapaian nilai publik tersebut; serta apakah ketiga elemen </w:t>
      </w:r>
      <w:r w:rsidRPr="000E4773">
        <w:rPr>
          <w:i/>
          <w:iCs/>
          <w:sz w:val="24"/>
          <w:szCs w:val="24"/>
        </w:rPr>
        <w:t>Strategic Triangle</w:t>
      </w:r>
      <w:r w:rsidRPr="000E4773">
        <w:rPr>
          <w:sz w:val="24"/>
          <w:szCs w:val="24"/>
        </w:rPr>
        <w:t xml:space="preserve"> berada dalam kondisi seimbang atau justru timpang dan </w:t>
      </w:r>
      <w:r w:rsidRPr="000E4773">
        <w:rPr>
          <w:sz w:val="24"/>
          <w:szCs w:val="24"/>
        </w:rPr>
        <w:lastRenderedPageBreak/>
        <w:t xml:space="preserve">berpotensi mengancam keberlanjutan strategi organisasi. Sejalan dengan pertanyaan-pertanyaan tersebut, tujuan utama penelitian ini adalah menganalisis dan mendeskripsikan secara mendalam kondisi nyata dari ketiga elemen </w:t>
      </w:r>
      <w:r w:rsidRPr="000E4773">
        <w:rPr>
          <w:i/>
          <w:iCs/>
          <w:sz w:val="24"/>
          <w:szCs w:val="24"/>
        </w:rPr>
        <w:t>Strategic Triangle</w:t>
      </w:r>
      <w:r w:rsidRPr="000E4773">
        <w:rPr>
          <w:sz w:val="24"/>
          <w:szCs w:val="24"/>
        </w:rPr>
        <w:t xml:space="preserve"> pada BMT Mawaddah yang datanya bersumber dari Laporan Rapat Anggota Tahunan (RAT) Tahun Buku 2025, serta mengevaluasi tingkat keseimbangan di antara ketiga elemen tersebut guna menentukan apakah ketiganya telah berjalan sinergis atau justru timpang, sehingga hasil evaluasi tersebut dapat dijadikan landasan objektif dalam menilai kesehatan strategi kelembagaan organisasi. Dari sisi kontribusi, penelitian ini menawarkan dua manfaat utama: secara teoretis, studi ini memperluas aplikasi kerangka </w:t>
      </w:r>
      <w:r w:rsidRPr="000E4773">
        <w:rPr>
          <w:i/>
          <w:iCs/>
          <w:sz w:val="24"/>
          <w:szCs w:val="24"/>
        </w:rPr>
        <w:t>Strategic Triangle</w:t>
      </w:r>
      <w:r w:rsidRPr="000E4773">
        <w:rPr>
          <w:sz w:val="24"/>
          <w:szCs w:val="24"/>
        </w:rPr>
        <w:t xml:space="preserve"> ke dalam konteks organisasi hibrida berbasis nilai keagamaan di Indonesia, sebuah ranah yang secara empiris masih terbatas dieksplorasi jika dibandingkan dengan penerapannya pada organisasi sektor publik sekuler; secara empiris, penelitian ini menyediakan data primer yang bersumber dari dokumen resmi pertanggungjawaban organisasi—sebuah bahan analisis yang relatif jarang diakses dan dikaji secara akademis dibandingkan dengan data sekunder atau survei persepsi pada umumnya. Terakhir, penelitian ini juga dapat dibaca sebagai kajian pelengkap (</w:t>
      </w:r>
      <w:r w:rsidRPr="000E4773">
        <w:rPr>
          <w:i/>
          <w:iCs/>
          <w:sz w:val="24"/>
          <w:szCs w:val="24"/>
        </w:rPr>
        <w:t>companion study</w:t>
      </w:r>
      <w:r w:rsidRPr="000E4773">
        <w:rPr>
          <w:sz w:val="24"/>
          <w:szCs w:val="24"/>
        </w:rPr>
        <w:t xml:space="preserve">) dari riset sejenis yang menerapkan kerangka </w:t>
      </w:r>
      <w:r w:rsidRPr="000E4773">
        <w:rPr>
          <w:i/>
          <w:iCs/>
          <w:sz w:val="24"/>
          <w:szCs w:val="24"/>
        </w:rPr>
        <w:t>Strategic Triangle</w:t>
      </w:r>
      <w:r w:rsidRPr="000E4773">
        <w:rPr>
          <w:sz w:val="24"/>
          <w:szCs w:val="24"/>
        </w:rPr>
        <w:t xml:space="preserve"> pada organisasi dakwah berbasis komunitas, sehingga secara kolektif turut membangun pemahaman yang lebih utuh mengenai penerapan teori nilai publik dalam ekosistem organisasi sosial-keagamaan Islam di Indonesia.</w:t>
      </w:r>
    </w:p>
    <w:p w14:paraId="28E19BCA" w14:textId="5C7A8677" w:rsidR="00516926" w:rsidRPr="000E4773" w:rsidRDefault="00000000" w:rsidP="000E4773">
      <w:pPr>
        <w:pStyle w:val="Heading1"/>
        <w:spacing w:before="300" w:after="200" w:line="360" w:lineRule="auto"/>
        <w:rPr>
          <w:color w:val="auto"/>
        </w:rPr>
      </w:pPr>
      <w:r w:rsidRPr="000E4773">
        <w:rPr>
          <w:b/>
          <w:bCs/>
          <w:color w:val="auto"/>
          <w:sz w:val="26"/>
          <w:szCs w:val="26"/>
        </w:rPr>
        <w:t>TINJAUAN PUSTAKA</w:t>
      </w:r>
    </w:p>
    <w:p w14:paraId="422B45E4" w14:textId="333F8F2D" w:rsidR="00775038" w:rsidRPr="000E4773" w:rsidRDefault="00775038" w:rsidP="000E4773">
      <w:pPr>
        <w:spacing w:after="200" w:line="360" w:lineRule="auto"/>
        <w:jc w:val="both"/>
        <w:rPr>
          <w:b/>
          <w:bCs/>
          <w:sz w:val="24"/>
          <w:szCs w:val="24"/>
        </w:rPr>
      </w:pPr>
      <w:r w:rsidRPr="000E4773">
        <w:rPr>
          <w:b/>
          <w:bCs/>
          <w:sz w:val="24"/>
          <w:szCs w:val="24"/>
        </w:rPr>
        <w:t>Strategic Triangle (Mark H. Moore)</w:t>
      </w:r>
    </w:p>
    <w:p w14:paraId="11251A04" w14:textId="4AB5DDF0" w:rsidR="00775038" w:rsidRPr="000E4773" w:rsidRDefault="00775038" w:rsidP="000E4773">
      <w:pPr>
        <w:spacing w:after="200" w:line="360" w:lineRule="auto"/>
        <w:jc w:val="both"/>
        <w:rPr>
          <w:sz w:val="24"/>
          <w:szCs w:val="24"/>
        </w:rPr>
      </w:pPr>
      <w:r w:rsidRPr="000E4773">
        <w:rPr>
          <w:sz w:val="24"/>
          <w:szCs w:val="24"/>
        </w:rPr>
        <w:t xml:space="preserve">Moore (1995) mengembangkan kerangka </w:t>
      </w:r>
      <w:r w:rsidRPr="000E4773">
        <w:rPr>
          <w:i/>
          <w:iCs/>
          <w:sz w:val="24"/>
          <w:szCs w:val="24"/>
        </w:rPr>
        <w:t>Strategic Triangle</w:t>
      </w:r>
      <w:r w:rsidRPr="000E4773">
        <w:rPr>
          <w:sz w:val="24"/>
          <w:szCs w:val="24"/>
        </w:rPr>
        <w:t xml:space="preserve"> sebagai alat bantu bagi manajer sektor publik dalam merumuskan dan mengeksekusi strategi organisasi. Kerangka ini terdiri atas tiga elemen yang saling terkait:</w:t>
      </w:r>
    </w:p>
    <w:p w14:paraId="5763CB4A" w14:textId="45EAE288" w:rsidR="00775038" w:rsidRPr="000E4773" w:rsidRDefault="00775038" w:rsidP="000E4773">
      <w:pPr>
        <w:numPr>
          <w:ilvl w:val="0"/>
          <w:numId w:val="2"/>
        </w:numPr>
        <w:tabs>
          <w:tab w:val="clear" w:pos="720"/>
        </w:tabs>
        <w:spacing w:after="200" w:line="360" w:lineRule="auto"/>
        <w:ind w:left="284" w:hanging="284"/>
        <w:jc w:val="both"/>
        <w:rPr>
          <w:sz w:val="24"/>
          <w:szCs w:val="24"/>
        </w:rPr>
      </w:pPr>
      <w:r w:rsidRPr="000E4773">
        <w:rPr>
          <w:i/>
          <w:iCs/>
          <w:sz w:val="24"/>
          <w:szCs w:val="24"/>
        </w:rPr>
        <w:t>Public value</w:t>
      </w:r>
      <w:r w:rsidRPr="000E4773">
        <w:rPr>
          <w:sz w:val="24"/>
          <w:szCs w:val="24"/>
        </w:rPr>
        <w:t>, yaitu definisi mengenai nilai atau manfaat yang hendak diciptakan organisasi bagi publik yang dilayaninya.</w:t>
      </w:r>
    </w:p>
    <w:p w14:paraId="2A7ACCCC" w14:textId="57BB0983" w:rsidR="00775038" w:rsidRPr="000E4773" w:rsidRDefault="00775038" w:rsidP="000E4773">
      <w:pPr>
        <w:numPr>
          <w:ilvl w:val="0"/>
          <w:numId w:val="2"/>
        </w:numPr>
        <w:tabs>
          <w:tab w:val="clear" w:pos="720"/>
        </w:tabs>
        <w:spacing w:after="200" w:line="360" w:lineRule="auto"/>
        <w:ind w:left="284" w:hanging="284"/>
        <w:jc w:val="both"/>
        <w:rPr>
          <w:sz w:val="24"/>
          <w:szCs w:val="24"/>
        </w:rPr>
      </w:pPr>
      <w:r w:rsidRPr="000E4773">
        <w:rPr>
          <w:i/>
          <w:iCs/>
          <w:sz w:val="24"/>
          <w:szCs w:val="24"/>
        </w:rPr>
        <w:t>Legitimacy and support</w:t>
      </w:r>
      <w:r w:rsidRPr="000E4773">
        <w:rPr>
          <w:sz w:val="24"/>
          <w:szCs w:val="24"/>
        </w:rPr>
        <w:t>, yaitu sumber-sumber otorisasi dan dukungan yang memungkinkan organisasi menjalankan mandatnya, baik dari otoritas formal, konstituen, maupun pemangku kepentingan lain.</w:t>
      </w:r>
    </w:p>
    <w:p w14:paraId="440F6BB3" w14:textId="7ABB58B7" w:rsidR="00775038" w:rsidRPr="000E4773" w:rsidRDefault="00775038" w:rsidP="000E4773">
      <w:pPr>
        <w:numPr>
          <w:ilvl w:val="0"/>
          <w:numId w:val="2"/>
        </w:numPr>
        <w:tabs>
          <w:tab w:val="clear" w:pos="720"/>
        </w:tabs>
        <w:spacing w:after="200" w:line="360" w:lineRule="auto"/>
        <w:ind w:left="284" w:hanging="284"/>
        <w:jc w:val="both"/>
        <w:rPr>
          <w:sz w:val="24"/>
          <w:szCs w:val="24"/>
        </w:rPr>
      </w:pPr>
      <w:r w:rsidRPr="000E4773">
        <w:rPr>
          <w:i/>
          <w:iCs/>
          <w:sz w:val="24"/>
          <w:szCs w:val="24"/>
        </w:rPr>
        <w:lastRenderedPageBreak/>
        <w:t>Operational capacity</w:t>
      </w:r>
      <w:r w:rsidRPr="000E4773">
        <w:rPr>
          <w:sz w:val="24"/>
          <w:szCs w:val="24"/>
        </w:rPr>
        <w:t>, yaitu kapasitas internal organisasi—meliputi sumber daya manusia, sistem, dan proses—yang diperlukan untuk mewujudkan nilai publik yang telah didefinisikan.</w:t>
      </w:r>
    </w:p>
    <w:p w14:paraId="1EA397B5" w14:textId="18F3A233" w:rsidR="00775038" w:rsidRPr="000E4773" w:rsidRDefault="00775038" w:rsidP="000E4773">
      <w:pPr>
        <w:spacing w:after="200" w:line="360" w:lineRule="auto"/>
        <w:jc w:val="both"/>
        <w:rPr>
          <w:sz w:val="24"/>
          <w:szCs w:val="24"/>
        </w:rPr>
      </w:pPr>
      <w:r w:rsidRPr="000E4773">
        <w:rPr>
          <w:sz w:val="24"/>
          <w:szCs w:val="24"/>
        </w:rPr>
        <w:t>Moore menekankan bahwa strategi organisasi hanya dapat dikatakan layak (</w:t>
      </w:r>
      <w:r w:rsidRPr="000E4773">
        <w:rPr>
          <w:i/>
          <w:iCs/>
          <w:sz w:val="24"/>
          <w:szCs w:val="24"/>
        </w:rPr>
        <w:t>viable</w:t>
      </w:r>
      <w:r w:rsidRPr="000E4773">
        <w:rPr>
          <w:sz w:val="24"/>
          <w:szCs w:val="24"/>
        </w:rPr>
        <w:t>) apabila ketiga elemen tersebut berada dalam kondisi selaras; ketimpangan pada salah satu elemen akan melemahkan efektivitas strategi secara keseluruhan.</w:t>
      </w:r>
    </w:p>
    <w:p w14:paraId="04FFC0E4" w14:textId="2D8D87F4" w:rsidR="00775038" w:rsidRPr="000E4773" w:rsidRDefault="00775038" w:rsidP="000E4773">
      <w:pPr>
        <w:spacing w:after="200" w:line="360" w:lineRule="auto"/>
        <w:jc w:val="both"/>
        <w:rPr>
          <w:b/>
          <w:bCs/>
          <w:sz w:val="24"/>
          <w:szCs w:val="24"/>
        </w:rPr>
      </w:pPr>
      <w:r w:rsidRPr="000E4773">
        <w:rPr>
          <w:b/>
          <w:bCs/>
          <w:sz w:val="24"/>
          <w:szCs w:val="24"/>
        </w:rPr>
        <w:t>Organisasi Hibrida dan Lembaga Keuangan Sosial-Keagamaan</w:t>
      </w:r>
    </w:p>
    <w:p w14:paraId="62979EE7" w14:textId="0E35EC82" w:rsidR="00775038" w:rsidRPr="000E4773" w:rsidRDefault="00775038" w:rsidP="000E4773">
      <w:pPr>
        <w:spacing w:after="200" w:line="360" w:lineRule="auto"/>
        <w:jc w:val="both"/>
        <w:rPr>
          <w:sz w:val="24"/>
          <w:szCs w:val="24"/>
        </w:rPr>
      </w:pPr>
      <w:r w:rsidRPr="000E4773">
        <w:rPr>
          <w:sz w:val="24"/>
          <w:szCs w:val="24"/>
        </w:rPr>
        <w:t xml:space="preserve">BMT sebagai lembaga keuangan mikro syariah memiliki karakter dwimandat: mandat bisnis melalui fungsi </w:t>
      </w:r>
      <w:r w:rsidRPr="000E4773">
        <w:rPr>
          <w:i/>
          <w:iCs/>
          <w:sz w:val="24"/>
          <w:szCs w:val="24"/>
        </w:rPr>
        <w:t>Baitul Tamwil</w:t>
      </w:r>
      <w:r w:rsidRPr="000E4773">
        <w:rPr>
          <w:sz w:val="24"/>
          <w:szCs w:val="24"/>
        </w:rPr>
        <w:t xml:space="preserve"> dan mandat sosial melalui fungsi </w:t>
      </w:r>
      <w:r w:rsidRPr="000E4773">
        <w:rPr>
          <w:i/>
          <w:iCs/>
          <w:sz w:val="24"/>
          <w:szCs w:val="24"/>
        </w:rPr>
        <w:t>Baitul Maal</w:t>
      </w:r>
      <w:r w:rsidRPr="000E4773">
        <w:rPr>
          <w:sz w:val="24"/>
          <w:szCs w:val="24"/>
        </w:rPr>
        <w:t xml:space="preserve">. Karakter ini menempatkan BMT dalam kategori organisasi hibrida yang harus menegosiasikan dua logika institusional yang berbeda—logika pasar dan logika filantropi (Battilana &amp; Lee, 2014). Dalam konteks keislaman, dwimandat ini dapat dipahami melalui kerangka </w:t>
      </w:r>
      <w:r w:rsidRPr="000E4773">
        <w:rPr>
          <w:i/>
          <w:iCs/>
          <w:sz w:val="24"/>
          <w:szCs w:val="24"/>
        </w:rPr>
        <w:t>maqashid syariah</w:t>
      </w:r>
      <w:r w:rsidRPr="000E4773">
        <w:rPr>
          <w:sz w:val="24"/>
          <w:szCs w:val="24"/>
        </w:rPr>
        <w:t xml:space="preserve">, khususnya prinsip </w:t>
      </w:r>
      <w:r w:rsidRPr="000E4773">
        <w:rPr>
          <w:i/>
          <w:iCs/>
          <w:sz w:val="24"/>
          <w:szCs w:val="24"/>
        </w:rPr>
        <w:t>hifz al-mal</w:t>
      </w:r>
      <w:r w:rsidRPr="000E4773">
        <w:rPr>
          <w:sz w:val="24"/>
          <w:szCs w:val="24"/>
        </w:rPr>
        <w:t xml:space="preserve"> (perlindungan dan pengembangan harta) yang menuntut pengelolaan dana secara produktif dan bertanggung jawab, sekaligus prinsip </w:t>
      </w:r>
      <w:r w:rsidRPr="000E4773">
        <w:rPr>
          <w:i/>
          <w:iCs/>
          <w:sz w:val="24"/>
          <w:szCs w:val="24"/>
        </w:rPr>
        <w:t>ta'awun</w:t>
      </w:r>
      <w:r w:rsidRPr="000E4773">
        <w:rPr>
          <w:sz w:val="24"/>
          <w:szCs w:val="24"/>
        </w:rPr>
        <w:t xml:space="preserve"> (tolong-menolong) yang mendorong redistribusi nilai kepada kelompok yang membutuhkan (Ascarya et al., 2018).</w:t>
      </w:r>
    </w:p>
    <w:p w14:paraId="6DB7E6F9" w14:textId="2E943042" w:rsidR="00775038" w:rsidRPr="000E4773" w:rsidRDefault="00775038" w:rsidP="000E4773">
      <w:pPr>
        <w:spacing w:after="200" w:line="360" w:lineRule="auto"/>
        <w:jc w:val="both"/>
        <w:rPr>
          <w:b/>
          <w:bCs/>
          <w:sz w:val="24"/>
          <w:szCs w:val="24"/>
        </w:rPr>
      </w:pPr>
      <w:r w:rsidRPr="000E4773">
        <w:rPr>
          <w:b/>
          <w:bCs/>
          <w:sz w:val="24"/>
          <w:szCs w:val="24"/>
        </w:rPr>
        <w:t>C. Dewan Pengawas Syariah sebagai Mekanisme Legitimasi Ganda</w:t>
      </w:r>
    </w:p>
    <w:p w14:paraId="4324BD3E" w14:textId="0878275F" w:rsidR="00775038" w:rsidRPr="000E4773" w:rsidRDefault="00775038" w:rsidP="000E4773">
      <w:pPr>
        <w:spacing w:after="200" w:line="360" w:lineRule="auto"/>
        <w:jc w:val="both"/>
        <w:rPr>
          <w:sz w:val="24"/>
          <w:szCs w:val="24"/>
        </w:rPr>
      </w:pPr>
      <w:r w:rsidRPr="000E4773">
        <w:rPr>
          <w:sz w:val="24"/>
          <w:szCs w:val="24"/>
        </w:rPr>
        <w:t xml:space="preserve">Keberadaan Dewan Pengawas Syariah (DPS) pada lembaga keuangan syariah, termasuk KSPPS, diwajibkan oleh Peraturan Menteri Koperasi dan UKM Nomor 11/PER/M.KUKM/XII/2017 sebagai mekanisme pengawasan kepatuhan syariah yang melapor kepada Dewan Syariah Nasional Majelis Ulama Indonesia (DSN-MUI). [CATATAN EDITOR: Peraturan ini berstatus tidak berlaku dan telah digantikan oleh Peraturan Menteri Koperasi dan UKM Nomor 8 Tahun 2023 tentang Usaha Simpan Pinjam oleh Koperasi. Mohon diverifikasi apakah kewajiban DPS tetap dipertahankan dalam regulasi pengganti tersebut, lalu perbarui rujukan pada kalimat ini dan pada entri Daftar Pustaka sebelum naskah disubmit.] Dalam kerangka </w:t>
      </w:r>
      <w:r w:rsidRPr="000E4773">
        <w:rPr>
          <w:i/>
          <w:iCs/>
          <w:sz w:val="24"/>
          <w:szCs w:val="24"/>
        </w:rPr>
        <w:t>Strategic Triangle</w:t>
      </w:r>
      <w:r w:rsidRPr="000E4773">
        <w:rPr>
          <w:sz w:val="24"/>
          <w:szCs w:val="24"/>
        </w:rPr>
        <w:t>, DPS dapat dipahami tidak semata sebagai fungsi kepatuhan (</w:t>
      </w:r>
      <w:r w:rsidRPr="000E4773">
        <w:rPr>
          <w:i/>
          <w:iCs/>
          <w:sz w:val="24"/>
          <w:szCs w:val="24"/>
        </w:rPr>
        <w:t>compliance</w:t>
      </w:r>
      <w:r w:rsidRPr="000E4773">
        <w:rPr>
          <w:sz w:val="24"/>
          <w:szCs w:val="24"/>
        </w:rPr>
        <w:t xml:space="preserve">), melainkan sebagai elemen </w:t>
      </w:r>
      <w:r w:rsidRPr="000E4773">
        <w:rPr>
          <w:i/>
          <w:iCs/>
          <w:sz w:val="24"/>
          <w:szCs w:val="24"/>
        </w:rPr>
        <w:t>legitimacy and support</w:t>
      </w:r>
      <w:r w:rsidRPr="000E4773">
        <w:rPr>
          <w:sz w:val="24"/>
          <w:szCs w:val="24"/>
        </w:rPr>
        <w:t xml:space="preserve"> tersendiri—legitimasi yang bersumber dari otoritas keagamaan berdampingan dengan legitimasi formal-hukum dari regulator negara. Keberadaan dua sumber legitimasi yang berjalan paralel ini menjadi ciri khas organisasi keuangan syariah yang tidak ditemukan pada organisasi sektor publik sekuler yang menjadi konteks asal kerangka Moore.</w:t>
      </w:r>
    </w:p>
    <w:p w14:paraId="737CC4D1" w14:textId="5EC14545" w:rsidR="00775038" w:rsidRPr="000E4773" w:rsidRDefault="00775038" w:rsidP="000E4773">
      <w:pPr>
        <w:spacing w:after="200" w:line="360" w:lineRule="auto"/>
        <w:jc w:val="both"/>
        <w:rPr>
          <w:b/>
          <w:bCs/>
          <w:sz w:val="24"/>
          <w:szCs w:val="24"/>
        </w:rPr>
      </w:pPr>
      <w:r w:rsidRPr="000E4773">
        <w:rPr>
          <w:b/>
          <w:bCs/>
          <w:sz w:val="24"/>
          <w:szCs w:val="24"/>
        </w:rPr>
        <w:lastRenderedPageBreak/>
        <w:t>D. Penelitian Terdahulu</w:t>
      </w:r>
    </w:p>
    <w:p w14:paraId="14978934" w14:textId="628CAD4F" w:rsidR="00775038" w:rsidRPr="000E4773" w:rsidRDefault="00775038" w:rsidP="000E4773">
      <w:pPr>
        <w:spacing w:after="200" w:line="360" w:lineRule="auto"/>
        <w:jc w:val="both"/>
        <w:rPr>
          <w:sz w:val="24"/>
          <w:szCs w:val="24"/>
        </w:rPr>
      </w:pPr>
      <w:r w:rsidRPr="000E4773">
        <w:rPr>
          <w:sz w:val="24"/>
          <w:szCs w:val="24"/>
        </w:rPr>
        <w:t xml:space="preserve">Beberapa penelitian telah menerapkan kerangka </w:t>
      </w:r>
      <w:r w:rsidRPr="000E4773">
        <w:rPr>
          <w:i/>
          <w:iCs/>
          <w:sz w:val="24"/>
          <w:szCs w:val="24"/>
        </w:rPr>
        <w:t>Strategic Triangle</w:t>
      </w:r>
      <w:r w:rsidRPr="000E4773">
        <w:rPr>
          <w:sz w:val="24"/>
          <w:szCs w:val="24"/>
        </w:rPr>
        <w:t xml:space="preserve"> dalam berbagai konteks. Alford &amp; Greve (2017) mengaplikasikannya pada organisasi nirlaba di Australia, sementara Bryson et al. (2014) mengintegrasikannya dengan teori pemangku kepentingan dalam konteks pemerintahan lokal. Di Indonesia, penerapan kerangka ini masih terbatas pada organisasi sektor publik seperti pemerintah daerah dan badan layanan umum. Penelitian oleh Anwar et al. (2023) menyoroti peran BMT dalam pemberdayaan UMKM tetapi tidak secara eksplisit menggunakan kerangka </w:t>
      </w:r>
      <w:r w:rsidRPr="000E4773">
        <w:rPr>
          <w:i/>
          <w:iCs/>
          <w:sz w:val="24"/>
          <w:szCs w:val="24"/>
        </w:rPr>
        <w:t>Strategic Triangle</w:t>
      </w:r>
      <w:r w:rsidRPr="000E4773">
        <w:rPr>
          <w:sz w:val="24"/>
          <w:szCs w:val="24"/>
        </w:rPr>
        <w:t>. Dengan demikian, penelitian ini mengisi celah dengan menerapkan kerangka Moore pada organisasi keuangan syariah berbasis pesantren.</w:t>
      </w:r>
    </w:p>
    <w:p w14:paraId="705512E8" w14:textId="522DCD56" w:rsidR="00151265" w:rsidRPr="000E4773" w:rsidRDefault="00151265" w:rsidP="000E4773">
      <w:pPr>
        <w:spacing w:after="200" w:line="360" w:lineRule="auto"/>
        <w:jc w:val="both"/>
        <w:rPr>
          <w:sz w:val="24"/>
          <w:szCs w:val="24"/>
        </w:rPr>
      </w:pPr>
    </w:p>
    <w:p w14:paraId="3D4B47ED" w14:textId="716E0ADD" w:rsidR="00151265" w:rsidRPr="000E4773" w:rsidRDefault="00000000" w:rsidP="000E4773">
      <w:pPr>
        <w:spacing w:after="200" w:line="360" w:lineRule="auto"/>
        <w:jc w:val="both"/>
      </w:pPr>
      <w:r w:rsidRPr="000E4773">
        <w:rPr>
          <w:b/>
          <w:bCs/>
          <w:sz w:val="26"/>
          <w:szCs w:val="26"/>
        </w:rPr>
        <w:t>III. METODE PENELITIAN</w:t>
      </w:r>
    </w:p>
    <w:p w14:paraId="4CA60DEE" w14:textId="4C60B5DB" w:rsidR="00151265" w:rsidRPr="000E4773" w:rsidRDefault="00151265" w:rsidP="000E4773">
      <w:pPr>
        <w:spacing w:after="200" w:line="360" w:lineRule="auto"/>
        <w:jc w:val="both"/>
        <w:rPr>
          <w:sz w:val="32"/>
          <w:szCs w:val="32"/>
        </w:rPr>
      </w:pPr>
      <w:r w:rsidRPr="000E4773">
        <w:rPr>
          <w:sz w:val="24"/>
          <w:szCs w:val="24"/>
        </w:rPr>
        <w:t>Penelitian ini mengadopsi pendekatan kualitatif dengan desain studi kasus tunggal (single case study) yang bersifat deskriptif-eksploratif. Pemilihan desain studi kasus didasarkan pada tujuan penelitian untuk memahami secara mendalam perwujudan dan interaksi antarketiga elemen Strategic Triangle dalam konteks organisasi yang spesifik, bukan untuk menggeneralisasi temuan secara statistik. Objek penelitiannya adalah Koperasi Al Iqtishod Lil Muamalah Mawaddah Syariah Jawa Timur (BMT Mawaddah), yang berkedudukan di Jalan Raya Palengaan Km. 11, Desa Potoan Laok, Kecamatan Palengaan, Kabupaten Pamekasan, Jawa Timur, dengan Badan Hukum Nomor 7754/BH/II/1994.</w:t>
      </w:r>
    </w:p>
    <w:p w14:paraId="2ACD67AD" w14:textId="58E1AB87" w:rsidR="00151265" w:rsidRPr="000E4773" w:rsidRDefault="00151265" w:rsidP="000E4773">
      <w:pPr>
        <w:spacing w:after="200" w:line="360" w:lineRule="auto"/>
        <w:jc w:val="both"/>
        <w:rPr>
          <w:sz w:val="24"/>
          <w:szCs w:val="24"/>
        </w:rPr>
      </w:pPr>
      <w:r w:rsidRPr="000E4773">
        <w:rPr>
          <w:sz w:val="24"/>
          <w:szCs w:val="24"/>
        </w:rPr>
        <w:t>Sumber data utama dalam penelitian ini adalah dokumen primer, yaitu Laporan Tahunan Pengurus, Pengawas, Pengawas Syariah, serta Rencana Kerja-Rencana Anggaran Pendapatan dan Belanja Koperasi (RK-RAPBK) yang disusun untuk Rapat Anggota Tahunan (RAT) ke-26 Tahun Buku 2025, yang diselenggarakan pada 9 Mei 2026 di Auditorium Pondok Pesantren Miftahul Ulum Panyepen. Dokumen-dokumen tersebut tergolong komprehensif karena mencakup laporan posisi keuangan, laporan perhitungan hasil usaha, laporan perubahan ekuitas, laporan arus kas, laporan dana zakat-infak-sedekah yang telah diaudit oleh Kantor Akuntan Publik Moh. Wildan &amp; Adi Darmawan, serta dilengkapi dengan catatan atas laporan keuangan, analisis rasio tingkat kesehatan koperasi, laporan pertanggungjawaban Pengawas, dan laporan pertanggungjawaban Dewan Pengawas Syariah.</w:t>
      </w:r>
    </w:p>
    <w:p w14:paraId="5284C386" w14:textId="6F40B689" w:rsidR="00151265" w:rsidRPr="000E4773" w:rsidRDefault="00151265" w:rsidP="000E4773">
      <w:pPr>
        <w:spacing w:after="200" w:line="360" w:lineRule="auto"/>
        <w:jc w:val="both"/>
        <w:rPr>
          <w:sz w:val="24"/>
          <w:szCs w:val="24"/>
        </w:rPr>
      </w:pPr>
      <w:r w:rsidRPr="000E4773">
        <w:rPr>
          <w:sz w:val="24"/>
          <w:szCs w:val="24"/>
        </w:rPr>
        <w:lastRenderedPageBreak/>
        <w:t>Untuk mengolah data dari dokumen-dokumen tersebut, penelitian ini menggunakan teknik analisis isi (content analysis) terstruktur. Seluruh data dipetakan ke dalam tiga kategori utama Strategic Triangle—yakni legitimacy and support, public value, dan operational capacity—dengan menggunakan matriks koding deduktif yang dikembangkan dari definisi konseptual Moore (1995). Setelah proses pemetaan selesai, dilakukan analisis keseimbangan (balance analysis) untuk menilai relasi timbal balik antarketiga elemen sekaligus mengidentifikasi potensi ketegangan yang mungkin timbul di antara elemen-elemen tersebut, sehingga hasilnya dapat menjadi dasar evaluasi kesehatan strategi kelembagaan BMT Mawaddah.</w:t>
      </w:r>
    </w:p>
    <w:p w14:paraId="0B5C4680" w14:textId="441A3DF1" w:rsidR="00151265" w:rsidRPr="000E4773" w:rsidRDefault="00151265" w:rsidP="000E4773">
      <w:pPr>
        <w:spacing w:after="200" w:line="360" w:lineRule="auto"/>
        <w:jc w:val="both"/>
        <w:rPr>
          <w:sz w:val="24"/>
          <w:szCs w:val="24"/>
        </w:rPr>
      </w:pPr>
      <w:r w:rsidRPr="000E4773">
        <w:rPr>
          <w:sz w:val="24"/>
          <w:szCs w:val="24"/>
        </w:rPr>
        <w:t>Meskipun dirancang secara sistematis, penelitian ini tetap memiliki keterbatasan metodologis yang perlu dinyatakan secara eksplisit. Pertama, karena data bersumber dari laporan pertanggungjawaban yang disusun sendiri oleh organisasi (self-reported data), terdapat potensi bias positif dalam penyajian capaian kinerja. Kedua, penggunaan data yang hanya mencakup satu tahun buku (cross-sectional) menjadikan klaim mengenai tren—misalnya pertumbuhan keanggotaan atau kepatuhan syariah—bersifat indikatif dan memerlukan konfirmasi melalui data historis multi-tahun sebelum dapat digeneralisasi sebagai pola jangka panjang. Ketiga, penelitian ini tidak melibatkan triangulasi melalui wawancara dengan pengurus, karyawan, atau anggota, sehingga interpretasi atas data dokumen sepenuhnya bersandar pada perspektif peneliti tanpa adanya konfirmasi langsung dari para aktor di lapangan.</w:t>
      </w:r>
    </w:p>
    <w:p w14:paraId="551DFA24" w14:textId="29A55D6E" w:rsidR="00516926" w:rsidRPr="000E4773" w:rsidRDefault="00000000" w:rsidP="000E4773">
      <w:pPr>
        <w:pStyle w:val="Heading1"/>
        <w:spacing w:before="300" w:after="200" w:line="360" w:lineRule="auto"/>
        <w:rPr>
          <w:color w:val="auto"/>
        </w:rPr>
      </w:pPr>
      <w:r w:rsidRPr="000E4773">
        <w:rPr>
          <w:b/>
          <w:bCs/>
          <w:color w:val="auto"/>
          <w:sz w:val="26"/>
          <w:szCs w:val="26"/>
        </w:rPr>
        <w:t>HASIL DAN PEMBAHASAN</w:t>
      </w:r>
    </w:p>
    <w:p w14:paraId="0310B561" w14:textId="2DFF39F9" w:rsidR="00775038" w:rsidRPr="000E4773" w:rsidRDefault="00775038" w:rsidP="000E4773">
      <w:pPr>
        <w:spacing w:after="200" w:line="360" w:lineRule="auto"/>
        <w:jc w:val="both"/>
        <w:rPr>
          <w:sz w:val="24"/>
          <w:szCs w:val="24"/>
        </w:rPr>
      </w:pPr>
      <w:r w:rsidRPr="000E4773">
        <w:rPr>
          <w:sz w:val="24"/>
          <w:szCs w:val="24"/>
        </w:rPr>
        <w:t>Analisis dokumen menunjukkan bahwa BMT Mawaddah membangun legitimasi melalui empat jalur yang berjalan paralel.</w:t>
      </w:r>
    </w:p>
    <w:p w14:paraId="330B0F19" w14:textId="7F8D74F2" w:rsidR="00775038" w:rsidRPr="000E4773" w:rsidRDefault="00775038" w:rsidP="000E4773">
      <w:pPr>
        <w:spacing w:after="200" w:line="360" w:lineRule="auto"/>
        <w:jc w:val="both"/>
        <w:rPr>
          <w:b/>
          <w:bCs/>
          <w:sz w:val="24"/>
          <w:szCs w:val="24"/>
        </w:rPr>
      </w:pPr>
      <w:r w:rsidRPr="000E4773">
        <w:rPr>
          <w:b/>
          <w:bCs/>
          <w:sz w:val="24"/>
          <w:szCs w:val="24"/>
        </w:rPr>
        <w:t>Legitimasi Hukum Formal</w:t>
      </w:r>
    </w:p>
    <w:p w14:paraId="4A4F0927" w14:textId="2EEB25E1" w:rsidR="00775038" w:rsidRPr="000E4773" w:rsidRDefault="00775038" w:rsidP="000E4773">
      <w:pPr>
        <w:spacing w:after="200" w:line="360" w:lineRule="auto"/>
        <w:jc w:val="both"/>
        <w:rPr>
          <w:sz w:val="24"/>
          <w:szCs w:val="24"/>
        </w:rPr>
      </w:pPr>
      <w:r w:rsidRPr="000E4773">
        <w:rPr>
          <w:sz w:val="24"/>
          <w:szCs w:val="24"/>
        </w:rPr>
        <w:t xml:space="preserve">Koperasi ini telah berbadan hukum sejak 17 Mei 1994 dengan Nomor 7754/BH/II/1994, dan pada 27 Januari 2017 melakukan perubahan anggaran dasar sekaligus beralih status pembinaan dari Dinas Koperasi Kabupaten Pamekasan menjadi binaan Dinas Koperasi dan UKM Provinsi Jawa Timur. Pada Tahun Buku 2025, koperasi juga menuntaskan transisi kelembagaan dari koperasi konsumen menjadi Koperasi Simpan Pinjam dan Pembiayaan Syariah (KSPPS), sejalan dengan </w:t>
      </w:r>
      <w:r w:rsidRPr="000E4773">
        <w:rPr>
          <w:sz w:val="24"/>
          <w:szCs w:val="24"/>
        </w:rPr>
        <w:lastRenderedPageBreak/>
        <w:t>anjuran regulator. Hal ini menunjukkan kepatuhan terhadap kerangka regulasi yang berlaku dan komitmen untuk mengikuti perkembangan kebijakan pemerintah.</w:t>
      </w:r>
    </w:p>
    <w:p w14:paraId="551EEA31" w14:textId="1EDEB546" w:rsidR="00775038" w:rsidRPr="000E4773" w:rsidRDefault="00775038" w:rsidP="000E4773">
      <w:pPr>
        <w:spacing w:after="200" w:line="360" w:lineRule="auto"/>
        <w:jc w:val="both"/>
        <w:rPr>
          <w:b/>
          <w:bCs/>
          <w:sz w:val="24"/>
          <w:szCs w:val="24"/>
        </w:rPr>
      </w:pPr>
      <w:r w:rsidRPr="000E4773">
        <w:rPr>
          <w:b/>
          <w:bCs/>
          <w:sz w:val="24"/>
          <w:szCs w:val="24"/>
        </w:rPr>
        <w:t>Legitimasi Keagamaan-Syariah</w:t>
      </w:r>
    </w:p>
    <w:p w14:paraId="1E0B4F84" w14:textId="558187FB" w:rsidR="00775038" w:rsidRPr="000E4773" w:rsidRDefault="00775038" w:rsidP="000E4773">
      <w:pPr>
        <w:spacing w:after="200" w:line="360" w:lineRule="auto"/>
        <w:jc w:val="both"/>
        <w:rPr>
          <w:sz w:val="24"/>
          <w:szCs w:val="24"/>
        </w:rPr>
      </w:pPr>
      <w:r w:rsidRPr="000E4773">
        <w:rPr>
          <w:sz w:val="24"/>
          <w:szCs w:val="24"/>
        </w:rPr>
        <w:t>Struktur organisasi memiliki Dewan Pengawas Syariah (DPS) yang independen dari jajaran Pengurus dan Pengawas umum, terdiri atas satu koordinator dan dua anggota, yang memberikan opini syariah tahunan atas seluruh lini produk—</w:t>
      </w:r>
      <w:r w:rsidRPr="000E4773">
        <w:rPr>
          <w:i/>
          <w:iCs/>
          <w:sz w:val="24"/>
          <w:szCs w:val="24"/>
        </w:rPr>
        <w:t>mudharabah</w:t>
      </w:r>
      <w:r w:rsidRPr="000E4773">
        <w:rPr>
          <w:sz w:val="24"/>
          <w:szCs w:val="24"/>
        </w:rPr>
        <w:t xml:space="preserve">, </w:t>
      </w:r>
      <w:r w:rsidRPr="000E4773">
        <w:rPr>
          <w:i/>
          <w:iCs/>
          <w:sz w:val="24"/>
          <w:szCs w:val="24"/>
        </w:rPr>
        <w:t>murabahah</w:t>
      </w:r>
      <w:r w:rsidRPr="000E4773">
        <w:rPr>
          <w:sz w:val="24"/>
          <w:szCs w:val="24"/>
        </w:rPr>
        <w:t xml:space="preserve">, </w:t>
      </w:r>
      <w:r w:rsidRPr="000E4773">
        <w:rPr>
          <w:i/>
          <w:iCs/>
          <w:sz w:val="24"/>
          <w:szCs w:val="24"/>
        </w:rPr>
        <w:t>rohn</w:t>
      </w:r>
      <w:r w:rsidRPr="000E4773">
        <w:rPr>
          <w:sz w:val="24"/>
          <w:szCs w:val="24"/>
        </w:rPr>
        <w:t xml:space="preserve">, </w:t>
      </w:r>
      <w:r w:rsidRPr="000E4773">
        <w:rPr>
          <w:i/>
          <w:iCs/>
          <w:sz w:val="24"/>
          <w:szCs w:val="24"/>
        </w:rPr>
        <w:t>bai' wafa</w:t>
      </w:r>
      <w:r w:rsidRPr="000E4773">
        <w:rPr>
          <w:sz w:val="24"/>
          <w:szCs w:val="24"/>
        </w:rPr>
        <w:t xml:space="preserve">, dan </w:t>
      </w:r>
      <w:r w:rsidRPr="000E4773">
        <w:rPr>
          <w:i/>
          <w:iCs/>
          <w:sz w:val="24"/>
          <w:szCs w:val="24"/>
        </w:rPr>
        <w:t>qardh</w:t>
      </w:r>
      <w:r w:rsidRPr="000E4773">
        <w:rPr>
          <w:sz w:val="24"/>
          <w:szCs w:val="24"/>
        </w:rPr>
        <w:t>. Laporan DPS Tahun Buku 2025 menyatakan bahwa secara keseluruhan operasional BMT Mawaddah telah memenuhi ketentuan syariah berdasarkan fatwa DSN-MUI. Namun, DPS turut mencatat masih ditemukannya sejumlah kasus penyimpangan penerapan akad di tingkat operasional cabang, yang menunjukkan bahwa kepatuhan syariah masih memerlukan pengawasan yang lebih ketat di level implementasi.</w:t>
      </w:r>
    </w:p>
    <w:p w14:paraId="32F63C24" w14:textId="237F09D8" w:rsidR="00775038" w:rsidRPr="000E4773" w:rsidRDefault="00775038" w:rsidP="000E4773">
      <w:pPr>
        <w:spacing w:after="200" w:line="360" w:lineRule="auto"/>
        <w:jc w:val="both"/>
        <w:rPr>
          <w:b/>
          <w:bCs/>
          <w:sz w:val="24"/>
          <w:szCs w:val="24"/>
        </w:rPr>
      </w:pPr>
      <w:r w:rsidRPr="000E4773">
        <w:rPr>
          <w:b/>
          <w:bCs/>
          <w:sz w:val="24"/>
          <w:szCs w:val="24"/>
        </w:rPr>
        <w:t>Legitimasi Akuntabilitas Publik</w:t>
      </w:r>
    </w:p>
    <w:p w14:paraId="2B6E0BF8" w14:textId="5A0F2742" w:rsidR="00775038" w:rsidRPr="000E4773" w:rsidRDefault="00775038" w:rsidP="000E4773">
      <w:pPr>
        <w:spacing w:after="200" w:line="360" w:lineRule="auto"/>
        <w:jc w:val="both"/>
        <w:rPr>
          <w:sz w:val="24"/>
          <w:szCs w:val="24"/>
        </w:rPr>
      </w:pPr>
      <w:r w:rsidRPr="000E4773">
        <w:rPr>
          <w:sz w:val="24"/>
          <w:szCs w:val="24"/>
        </w:rPr>
        <w:t xml:space="preserve">Laporan keuangan koperasi diaudit oleh Kantor Akuntan Publik independen, Moh. Wildan &amp; Adi Darmawan, yang memberikan opini </w:t>
      </w:r>
      <w:r w:rsidRPr="000E4773">
        <w:rPr>
          <w:b/>
          <w:bCs/>
          <w:sz w:val="24"/>
          <w:szCs w:val="24"/>
        </w:rPr>
        <w:t>"</w:t>
      </w:r>
      <w:r w:rsidRPr="000E4773">
        <w:rPr>
          <w:sz w:val="24"/>
          <w:szCs w:val="24"/>
        </w:rPr>
        <w:t>Wajar Dengan Pengecualian</w:t>
      </w:r>
      <w:r w:rsidRPr="000E4773">
        <w:rPr>
          <w:b/>
          <w:bCs/>
          <w:sz w:val="24"/>
          <w:szCs w:val="24"/>
        </w:rPr>
        <w:t>"</w:t>
      </w:r>
      <w:r w:rsidRPr="000E4773">
        <w:rPr>
          <w:sz w:val="24"/>
          <w:szCs w:val="24"/>
        </w:rPr>
        <w:t xml:space="preserve"> (WDP) atas Laporan Posisi Keuangan per 31 Desember 2024. Pengecualian tersebut secara spesifik berkaitan dengan belum diterapkannya Standar Akuntansi Keuangan Entitas Tanpa Akuntabilitas Publik Bab 24 tentang Kewajiban Perpajakan. Temuan ini penting untuk dicatat: opini WDP menunjukkan bahwa legitimasi akuntabilitas BMT Mawaddah belum berada pada tingkat optimal, dan bukan opini "Wajar Tanpa Pengecualian" sebagaimana yang idealnya menjadi standar lembaga keuangan yang menghimpun dana publik dalam skala besar. Hal ini menjadi pekerjaan rumah yang mendesak bagi pengurus untuk segera menyesuaikan dengan standar akuntansi yang berlaku.</w:t>
      </w:r>
    </w:p>
    <w:p w14:paraId="37CDE93C" w14:textId="473B82EA" w:rsidR="00775038" w:rsidRPr="000E4773" w:rsidRDefault="00775038" w:rsidP="000E4773">
      <w:pPr>
        <w:spacing w:after="200" w:line="360" w:lineRule="auto"/>
        <w:jc w:val="both"/>
        <w:rPr>
          <w:b/>
          <w:bCs/>
          <w:sz w:val="24"/>
          <w:szCs w:val="24"/>
        </w:rPr>
      </w:pPr>
      <w:r w:rsidRPr="000E4773">
        <w:rPr>
          <w:b/>
          <w:bCs/>
          <w:sz w:val="24"/>
          <w:szCs w:val="24"/>
        </w:rPr>
        <w:t>Legitimasi Sosial-Kultural</w:t>
      </w:r>
    </w:p>
    <w:p w14:paraId="717968DA" w14:textId="20130D5F" w:rsidR="00775038" w:rsidRPr="000E4773" w:rsidRDefault="00775038" w:rsidP="000E4773">
      <w:pPr>
        <w:spacing w:after="200" w:line="360" w:lineRule="auto"/>
        <w:jc w:val="both"/>
        <w:rPr>
          <w:sz w:val="24"/>
          <w:szCs w:val="24"/>
        </w:rPr>
      </w:pPr>
      <w:r w:rsidRPr="000E4773">
        <w:rPr>
          <w:sz w:val="24"/>
          <w:szCs w:val="24"/>
        </w:rPr>
        <w:t xml:space="preserve">BMT Mawaddah beroperasi di bawah naungan kultural Pondok Pesantren Miftahul Ulum Panyepen, dengan Pembina yang dijabat oleh figur otoritas pesantren, RKH. Mohammad Muddatstsir Badruddin. Legitimasi kultural ini tercermin pula pada keputusan strategis penyerahan pengelolaan usaha riil (toko modern) kembali kepada pesantren, sebagaimana ditetapkan dalam Surat Keputusan Hasil RAT Tahun Buku 2024. Keputusan ini menunjukkan </w:t>
      </w:r>
      <w:r w:rsidRPr="000E4773">
        <w:rPr>
          <w:sz w:val="24"/>
          <w:szCs w:val="24"/>
        </w:rPr>
        <w:lastRenderedPageBreak/>
        <w:t>bahwa otoritas pesantren memiliki peran nyata dalam pengambilan keputusan strategis koperasi, bukan sekadar simbolis.</w:t>
      </w:r>
    </w:p>
    <w:p w14:paraId="59B86D07" w14:textId="5E049B49" w:rsidR="00775038" w:rsidRPr="000E4773" w:rsidRDefault="00775038" w:rsidP="000E4773">
      <w:pPr>
        <w:spacing w:after="200" w:line="360" w:lineRule="auto"/>
        <w:jc w:val="both"/>
        <w:rPr>
          <w:b/>
          <w:bCs/>
          <w:sz w:val="24"/>
          <w:szCs w:val="24"/>
        </w:rPr>
      </w:pPr>
      <w:r w:rsidRPr="000E4773">
        <w:rPr>
          <w:b/>
          <w:bCs/>
          <w:sz w:val="24"/>
          <w:szCs w:val="24"/>
        </w:rPr>
        <w:t>Legitimasi dari Konstituen (Anggota)</w:t>
      </w:r>
    </w:p>
    <w:p w14:paraId="133B8CDF" w14:textId="687A296C" w:rsidR="00775038" w:rsidRPr="000E4773" w:rsidRDefault="00775038" w:rsidP="000E4773">
      <w:pPr>
        <w:spacing w:after="200" w:line="360" w:lineRule="auto"/>
        <w:jc w:val="both"/>
        <w:rPr>
          <w:sz w:val="24"/>
          <w:szCs w:val="24"/>
        </w:rPr>
      </w:pPr>
      <w:r w:rsidRPr="000E4773">
        <w:rPr>
          <w:sz w:val="24"/>
          <w:szCs w:val="24"/>
        </w:rPr>
        <w:t>Sebagai indikator kuantitatif legitimasi dari sisi konstituen, Tabel 1 menyajikan data keanggotaan dan pertumbuhannya.</w:t>
      </w:r>
    </w:p>
    <w:p w14:paraId="6E980CFE" w14:textId="4EA66B6C" w:rsidR="00775038" w:rsidRPr="000E4773" w:rsidRDefault="00775038" w:rsidP="000E4773">
      <w:pPr>
        <w:spacing w:after="200" w:line="360" w:lineRule="auto"/>
        <w:jc w:val="both"/>
        <w:rPr>
          <w:sz w:val="24"/>
          <w:szCs w:val="24"/>
        </w:rPr>
      </w:pPr>
      <w:r w:rsidRPr="000E4773">
        <w:rPr>
          <w:b/>
          <w:bCs/>
          <w:sz w:val="24"/>
          <w:szCs w:val="24"/>
        </w:rPr>
        <w:t>Tabel 1. Pertumbuhan Keanggotaan BMT Mawaddah Tahun Buku 2025</w:t>
      </w:r>
    </w:p>
    <w:tbl>
      <w:tblPr>
        <w:tblStyle w:val="PlainTable2"/>
        <w:tblW w:w="9024" w:type="dxa"/>
        <w:tblLook w:val="04A0" w:firstRow="1" w:lastRow="0" w:firstColumn="1" w:lastColumn="0" w:noHBand="0" w:noVBand="1"/>
      </w:tblPr>
      <w:tblGrid>
        <w:gridCol w:w="3402"/>
        <w:gridCol w:w="3261"/>
        <w:gridCol w:w="2361"/>
      </w:tblGrid>
      <w:tr w:rsidR="00775038" w:rsidRPr="000E4773" w14:paraId="29C64FC8" w14:textId="77777777" w:rsidTr="003E00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hideMark/>
          </w:tcPr>
          <w:p w14:paraId="5A375F23" w14:textId="77777777" w:rsidR="00775038" w:rsidRPr="000E4773" w:rsidRDefault="00775038" w:rsidP="000E4773">
            <w:pPr>
              <w:spacing w:after="200"/>
              <w:jc w:val="both"/>
              <w:rPr>
                <w:sz w:val="24"/>
                <w:szCs w:val="24"/>
              </w:rPr>
            </w:pPr>
            <w:r w:rsidRPr="000E4773">
              <w:rPr>
                <w:sz w:val="24"/>
                <w:szCs w:val="24"/>
              </w:rPr>
              <w:t>Keterangan</w:t>
            </w:r>
          </w:p>
        </w:tc>
        <w:tc>
          <w:tcPr>
            <w:tcW w:w="3261" w:type="dxa"/>
            <w:hideMark/>
          </w:tcPr>
          <w:p w14:paraId="1949AD17" w14:textId="378F4795" w:rsidR="00775038" w:rsidRPr="000E4773" w:rsidRDefault="00775038" w:rsidP="000E4773">
            <w:pPr>
              <w:spacing w:after="200"/>
              <w:jc w:val="both"/>
              <w:cnfStyle w:val="100000000000" w:firstRow="1" w:lastRow="0" w:firstColumn="0" w:lastColumn="0" w:oddVBand="0" w:evenVBand="0" w:oddHBand="0" w:evenHBand="0" w:firstRowFirstColumn="0" w:firstRowLastColumn="0" w:lastRowFirstColumn="0" w:lastRowLastColumn="0"/>
              <w:rPr>
                <w:sz w:val="24"/>
                <w:szCs w:val="24"/>
              </w:rPr>
            </w:pPr>
            <w:r w:rsidRPr="000E4773">
              <w:rPr>
                <w:sz w:val="24"/>
                <w:szCs w:val="24"/>
              </w:rPr>
              <w:t>Jumlah</w:t>
            </w:r>
            <w:r w:rsidRPr="000E4773">
              <w:rPr>
                <w:b w:val="0"/>
                <w:bCs w:val="0"/>
                <w:sz w:val="24"/>
                <w:szCs w:val="24"/>
              </w:rPr>
              <w:t xml:space="preserve"> </w:t>
            </w:r>
            <w:r w:rsidRPr="000E4773">
              <w:rPr>
                <w:sz w:val="24"/>
                <w:szCs w:val="24"/>
              </w:rPr>
              <w:t>(orang)</w:t>
            </w:r>
          </w:p>
        </w:tc>
        <w:tc>
          <w:tcPr>
            <w:tcW w:w="2361" w:type="dxa"/>
            <w:hideMark/>
          </w:tcPr>
          <w:p w14:paraId="3A8209FF" w14:textId="77777777" w:rsidR="00775038" w:rsidRPr="000E4773" w:rsidRDefault="00775038" w:rsidP="000E4773">
            <w:pPr>
              <w:spacing w:after="200"/>
              <w:jc w:val="both"/>
              <w:cnfStyle w:val="100000000000" w:firstRow="1" w:lastRow="0" w:firstColumn="0" w:lastColumn="0" w:oddVBand="0" w:evenVBand="0" w:oddHBand="0" w:evenHBand="0" w:firstRowFirstColumn="0" w:firstRowLastColumn="0" w:lastRowFirstColumn="0" w:lastRowLastColumn="0"/>
              <w:rPr>
                <w:sz w:val="24"/>
                <w:szCs w:val="24"/>
              </w:rPr>
            </w:pPr>
            <w:r w:rsidRPr="000E4773">
              <w:rPr>
                <w:sz w:val="24"/>
                <w:szCs w:val="24"/>
              </w:rPr>
              <w:t>Persentase</w:t>
            </w:r>
          </w:p>
        </w:tc>
      </w:tr>
      <w:tr w:rsidR="00775038" w:rsidRPr="000E4773" w14:paraId="6C243D41" w14:textId="77777777" w:rsidTr="003E00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hideMark/>
          </w:tcPr>
          <w:p w14:paraId="37EF84D2" w14:textId="4DF5F9A4" w:rsidR="00775038" w:rsidRPr="000E4773" w:rsidRDefault="00775038" w:rsidP="000E4773">
            <w:pPr>
              <w:spacing w:after="200"/>
              <w:jc w:val="both"/>
              <w:rPr>
                <w:b w:val="0"/>
                <w:bCs w:val="0"/>
                <w:sz w:val="24"/>
                <w:szCs w:val="24"/>
              </w:rPr>
            </w:pPr>
            <w:r w:rsidRPr="000E4773">
              <w:rPr>
                <w:b w:val="0"/>
                <w:bCs w:val="0"/>
                <w:sz w:val="24"/>
                <w:szCs w:val="24"/>
              </w:rPr>
              <w:t>Anggota lama (2024)</w:t>
            </w:r>
          </w:p>
        </w:tc>
        <w:tc>
          <w:tcPr>
            <w:tcW w:w="3261" w:type="dxa"/>
            <w:hideMark/>
          </w:tcPr>
          <w:p w14:paraId="7AC74BF8" w14:textId="77777777" w:rsidR="00775038" w:rsidRPr="000E4773" w:rsidRDefault="00775038" w:rsidP="000E4773">
            <w:pPr>
              <w:spacing w:after="200"/>
              <w:jc w:val="both"/>
              <w:cnfStyle w:val="000000100000" w:firstRow="0" w:lastRow="0" w:firstColumn="0" w:lastColumn="0" w:oddVBand="0" w:evenVBand="0" w:oddHBand="1" w:evenHBand="0" w:firstRowFirstColumn="0" w:firstRowLastColumn="0" w:lastRowFirstColumn="0" w:lastRowLastColumn="0"/>
              <w:rPr>
                <w:sz w:val="24"/>
                <w:szCs w:val="24"/>
              </w:rPr>
            </w:pPr>
            <w:r w:rsidRPr="000E4773">
              <w:rPr>
                <w:sz w:val="24"/>
                <w:szCs w:val="24"/>
              </w:rPr>
              <w:t>47.093</w:t>
            </w:r>
          </w:p>
        </w:tc>
        <w:tc>
          <w:tcPr>
            <w:tcW w:w="2361" w:type="dxa"/>
            <w:hideMark/>
          </w:tcPr>
          <w:p w14:paraId="4ABA6793" w14:textId="77777777" w:rsidR="00775038" w:rsidRPr="000E4773" w:rsidRDefault="00775038" w:rsidP="000E4773">
            <w:pPr>
              <w:spacing w:after="200"/>
              <w:jc w:val="both"/>
              <w:cnfStyle w:val="000000100000" w:firstRow="0" w:lastRow="0" w:firstColumn="0" w:lastColumn="0" w:oddVBand="0" w:evenVBand="0" w:oddHBand="1" w:evenHBand="0" w:firstRowFirstColumn="0" w:firstRowLastColumn="0" w:lastRowFirstColumn="0" w:lastRowLastColumn="0"/>
              <w:rPr>
                <w:sz w:val="24"/>
                <w:szCs w:val="24"/>
              </w:rPr>
            </w:pPr>
            <w:r w:rsidRPr="000E4773">
              <w:rPr>
                <w:sz w:val="24"/>
                <w:szCs w:val="24"/>
              </w:rPr>
              <w:t>—</w:t>
            </w:r>
          </w:p>
        </w:tc>
      </w:tr>
      <w:tr w:rsidR="00775038" w:rsidRPr="000E4773" w14:paraId="2A481173" w14:textId="77777777" w:rsidTr="003E0094">
        <w:tc>
          <w:tcPr>
            <w:cnfStyle w:val="001000000000" w:firstRow="0" w:lastRow="0" w:firstColumn="1" w:lastColumn="0" w:oddVBand="0" w:evenVBand="0" w:oddHBand="0" w:evenHBand="0" w:firstRowFirstColumn="0" w:firstRowLastColumn="0" w:lastRowFirstColumn="0" w:lastRowLastColumn="0"/>
            <w:tcW w:w="3402" w:type="dxa"/>
            <w:hideMark/>
          </w:tcPr>
          <w:p w14:paraId="454ED20F" w14:textId="3F90B23C" w:rsidR="00775038" w:rsidRPr="000E4773" w:rsidRDefault="00775038" w:rsidP="000E4773">
            <w:pPr>
              <w:spacing w:after="200"/>
              <w:jc w:val="both"/>
              <w:rPr>
                <w:b w:val="0"/>
                <w:bCs w:val="0"/>
                <w:sz w:val="24"/>
                <w:szCs w:val="24"/>
              </w:rPr>
            </w:pPr>
            <w:r w:rsidRPr="000E4773">
              <w:rPr>
                <w:b w:val="0"/>
                <w:bCs w:val="0"/>
                <w:sz w:val="24"/>
                <w:szCs w:val="24"/>
              </w:rPr>
              <w:t>Anggota masuk (2025)</w:t>
            </w:r>
          </w:p>
        </w:tc>
        <w:tc>
          <w:tcPr>
            <w:tcW w:w="3261" w:type="dxa"/>
            <w:hideMark/>
          </w:tcPr>
          <w:p w14:paraId="7BDD7591" w14:textId="77777777" w:rsidR="00775038" w:rsidRPr="000E4773" w:rsidRDefault="00775038" w:rsidP="000E4773">
            <w:pPr>
              <w:spacing w:after="200"/>
              <w:jc w:val="both"/>
              <w:cnfStyle w:val="000000000000" w:firstRow="0" w:lastRow="0" w:firstColumn="0" w:lastColumn="0" w:oddVBand="0" w:evenVBand="0" w:oddHBand="0" w:evenHBand="0" w:firstRowFirstColumn="0" w:firstRowLastColumn="0" w:lastRowFirstColumn="0" w:lastRowLastColumn="0"/>
              <w:rPr>
                <w:sz w:val="24"/>
                <w:szCs w:val="24"/>
              </w:rPr>
            </w:pPr>
            <w:r w:rsidRPr="000E4773">
              <w:rPr>
                <w:sz w:val="24"/>
                <w:szCs w:val="24"/>
              </w:rPr>
              <w:t>454</w:t>
            </w:r>
          </w:p>
        </w:tc>
        <w:tc>
          <w:tcPr>
            <w:tcW w:w="2361" w:type="dxa"/>
            <w:hideMark/>
          </w:tcPr>
          <w:p w14:paraId="79F43FFF" w14:textId="77777777" w:rsidR="00775038" w:rsidRPr="000E4773" w:rsidRDefault="00775038" w:rsidP="000E4773">
            <w:pPr>
              <w:spacing w:after="200"/>
              <w:jc w:val="both"/>
              <w:cnfStyle w:val="000000000000" w:firstRow="0" w:lastRow="0" w:firstColumn="0" w:lastColumn="0" w:oddVBand="0" w:evenVBand="0" w:oddHBand="0" w:evenHBand="0" w:firstRowFirstColumn="0" w:firstRowLastColumn="0" w:lastRowFirstColumn="0" w:lastRowLastColumn="0"/>
              <w:rPr>
                <w:sz w:val="24"/>
                <w:szCs w:val="24"/>
              </w:rPr>
            </w:pPr>
            <w:r w:rsidRPr="000E4773">
              <w:rPr>
                <w:sz w:val="24"/>
                <w:szCs w:val="24"/>
              </w:rPr>
              <w:t>+0,96%</w:t>
            </w:r>
          </w:p>
        </w:tc>
      </w:tr>
      <w:tr w:rsidR="00775038" w:rsidRPr="000E4773" w14:paraId="12E4FF2E" w14:textId="77777777" w:rsidTr="003E00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hideMark/>
          </w:tcPr>
          <w:p w14:paraId="29D22D57" w14:textId="07EE89F2" w:rsidR="00775038" w:rsidRPr="000E4773" w:rsidRDefault="00775038" w:rsidP="000E4773">
            <w:pPr>
              <w:spacing w:after="200"/>
              <w:jc w:val="both"/>
              <w:rPr>
                <w:b w:val="0"/>
                <w:bCs w:val="0"/>
                <w:sz w:val="24"/>
                <w:szCs w:val="24"/>
              </w:rPr>
            </w:pPr>
            <w:r w:rsidRPr="000E4773">
              <w:rPr>
                <w:b w:val="0"/>
                <w:bCs w:val="0"/>
                <w:sz w:val="24"/>
                <w:szCs w:val="24"/>
              </w:rPr>
              <w:t>Anggota keluar (2025)</w:t>
            </w:r>
          </w:p>
        </w:tc>
        <w:tc>
          <w:tcPr>
            <w:tcW w:w="3261" w:type="dxa"/>
            <w:hideMark/>
          </w:tcPr>
          <w:p w14:paraId="7F221DCC" w14:textId="77777777" w:rsidR="00775038" w:rsidRPr="000E4773" w:rsidRDefault="00775038" w:rsidP="000E4773">
            <w:pPr>
              <w:spacing w:after="200"/>
              <w:jc w:val="both"/>
              <w:cnfStyle w:val="000000100000" w:firstRow="0" w:lastRow="0" w:firstColumn="0" w:lastColumn="0" w:oddVBand="0" w:evenVBand="0" w:oddHBand="1" w:evenHBand="0" w:firstRowFirstColumn="0" w:firstRowLastColumn="0" w:lastRowFirstColumn="0" w:lastRowLastColumn="0"/>
              <w:rPr>
                <w:sz w:val="24"/>
                <w:szCs w:val="24"/>
              </w:rPr>
            </w:pPr>
            <w:r w:rsidRPr="000E4773">
              <w:rPr>
                <w:sz w:val="24"/>
                <w:szCs w:val="24"/>
              </w:rPr>
              <w:t>0</w:t>
            </w:r>
          </w:p>
        </w:tc>
        <w:tc>
          <w:tcPr>
            <w:tcW w:w="2361" w:type="dxa"/>
            <w:hideMark/>
          </w:tcPr>
          <w:p w14:paraId="5ADE07FB" w14:textId="77777777" w:rsidR="00775038" w:rsidRPr="000E4773" w:rsidRDefault="00775038" w:rsidP="000E4773">
            <w:pPr>
              <w:spacing w:after="200"/>
              <w:jc w:val="both"/>
              <w:cnfStyle w:val="000000100000" w:firstRow="0" w:lastRow="0" w:firstColumn="0" w:lastColumn="0" w:oddVBand="0" w:evenVBand="0" w:oddHBand="1" w:evenHBand="0" w:firstRowFirstColumn="0" w:firstRowLastColumn="0" w:lastRowFirstColumn="0" w:lastRowLastColumn="0"/>
              <w:rPr>
                <w:sz w:val="24"/>
                <w:szCs w:val="24"/>
              </w:rPr>
            </w:pPr>
            <w:r w:rsidRPr="000E4773">
              <w:rPr>
                <w:sz w:val="24"/>
                <w:szCs w:val="24"/>
              </w:rPr>
              <w:t>0%</w:t>
            </w:r>
          </w:p>
        </w:tc>
      </w:tr>
      <w:tr w:rsidR="00775038" w:rsidRPr="000E4773" w14:paraId="08FE4773" w14:textId="77777777" w:rsidTr="003E0094">
        <w:tc>
          <w:tcPr>
            <w:cnfStyle w:val="001000000000" w:firstRow="0" w:lastRow="0" w:firstColumn="1" w:lastColumn="0" w:oddVBand="0" w:evenVBand="0" w:oddHBand="0" w:evenHBand="0" w:firstRowFirstColumn="0" w:firstRowLastColumn="0" w:lastRowFirstColumn="0" w:lastRowLastColumn="0"/>
            <w:tcW w:w="3402" w:type="dxa"/>
            <w:hideMark/>
          </w:tcPr>
          <w:p w14:paraId="761E36C3" w14:textId="6192AB8B" w:rsidR="00775038" w:rsidRPr="000E4773" w:rsidRDefault="00775038" w:rsidP="000E4773">
            <w:pPr>
              <w:spacing w:after="200"/>
              <w:jc w:val="both"/>
              <w:rPr>
                <w:b w:val="0"/>
                <w:bCs w:val="0"/>
                <w:sz w:val="24"/>
                <w:szCs w:val="24"/>
              </w:rPr>
            </w:pPr>
            <w:r w:rsidRPr="000E4773">
              <w:rPr>
                <w:b w:val="0"/>
                <w:bCs w:val="0"/>
                <w:sz w:val="24"/>
                <w:szCs w:val="24"/>
              </w:rPr>
              <w:t>Jumlah anggota (2025)</w:t>
            </w:r>
          </w:p>
        </w:tc>
        <w:tc>
          <w:tcPr>
            <w:tcW w:w="3261" w:type="dxa"/>
            <w:hideMark/>
          </w:tcPr>
          <w:p w14:paraId="0027D9BE" w14:textId="77777777" w:rsidR="00775038" w:rsidRPr="000E4773" w:rsidRDefault="00775038" w:rsidP="000E4773">
            <w:pPr>
              <w:spacing w:after="200"/>
              <w:jc w:val="both"/>
              <w:cnfStyle w:val="000000000000" w:firstRow="0" w:lastRow="0" w:firstColumn="0" w:lastColumn="0" w:oddVBand="0" w:evenVBand="0" w:oddHBand="0" w:evenHBand="0" w:firstRowFirstColumn="0" w:firstRowLastColumn="0" w:lastRowFirstColumn="0" w:lastRowLastColumn="0"/>
              <w:rPr>
                <w:sz w:val="24"/>
                <w:szCs w:val="24"/>
              </w:rPr>
            </w:pPr>
            <w:r w:rsidRPr="000E4773">
              <w:rPr>
                <w:b/>
                <w:bCs/>
                <w:sz w:val="24"/>
                <w:szCs w:val="24"/>
              </w:rPr>
              <w:t>47.547</w:t>
            </w:r>
          </w:p>
        </w:tc>
        <w:tc>
          <w:tcPr>
            <w:tcW w:w="2361" w:type="dxa"/>
            <w:hideMark/>
          </w:tcPr>
          <w:p w14:paraId="13D90E17" w14:textId="77777777" w:rsidR="00775038" w:rsidRPr="000E4773" w:rsidRDefault="00775038" w:rsidP="000E4773">
            <w:pPr>
              <w:spacing w:after="200"/>
              <w:jc w:val="both"/>
              <w:cnfStyle w:val="000000000000" w:firstRow="0" w:lastRow="0" w:firstColumn="0" w:lastColumn="0" w:oddVBand="0" w:evenVBand="0" w:oddHBand="0" w:evenHBand="0" w:firstRowFirstColumn="0" w:firstRowLastColumn="0" w:lastRowFirstColumn="0" w:lastRowLastColumn="0"/>
              <w:rPr>
                <w:sz w:val="24"/>
                <w:szCs w:val="24"/>
              </w:rPr>
            </w:pPr>
            <w:r w:rsidRPr="000E4773">
              <w:rPr>
                <w:sz w:val="24"/>
                <w:szCs w:val="24"/>
              </w:rPr>
              <w:t>—</w:t>
            </w:r>
          </w:p>
        </w:tc>
      </w:tr>
    </w:tbl>
    <w:p w14:paraId="1E07C660" w14:textId="687FA909" w:rsidR="00775038" w:rsidRPr="000E4773" w:rsidRDefault="00775038" w:rsidP="000E4773">
      <w:pPr>
        <w:spacing w:after="200" w:line="360" w:lineRule="auto"/>
        <w:jc w:val="both"/>
        <w:rPr>
          <w:sz w:val="24"/>
          <w:szCs w:val="24"/>
        </w:rPr>
      </w:pPr>
      <w:r w:rsidRPr="000E4773">
        <w:rPr>
          <w:i/>
          <w:iCs/>
          <w:sz w:val="24"/>
          <w:szCs w:val="24"/>
        </w:rPr>
        <w:t>Sumber: Laporan Pengurus RAT Tahun Buku 2025</w:t>
      </w:r>
    </w:p>
    <w:p w14:paraId="2B52145E" w14:textId="1E473231" w:rsidR="00775038" w:rsidRPr="000E4773" w:rsidRDefault="00775038" w:rsidP="000E4773">
      <w:pPr>
        <w:spacing w:after="200" w:line="360" w:lineRule="auto"/>
        <w:jc w:val="both"/>
        <w:rPr>
          <w:sz w:val="24"/>
          <w:szCs w:val="24"/>
        </w:rPr>
      </w:pPr>
      <w:r w:rsidRPr="000E4773">
        <w:rPr>
          <w:sz w:val="24"/>
          <w:szCs w:val="24"/>
        </w:rPr>
        <w:t>Pertumbuhan anggota sebesar 0,96% pada tahun 2025 tergolong rendah untuk ukuran lembaga keuangan mikro dengan basis anggota yang sudah sangat besar (di atas 47 ribu orang). Data ini perlu dibaca secara berimbang: di satu sisi, tingkat retensi sempurna (nol anggota keluar) mengindikasikan kepercayaan dan loyalitas anggota eksisting yang tinggi terhadap koperasi; di sisi lain, laju pertumbuhan anggota baru yang melambat berpotensi menandakan saturasi pasar di wilayah kerja eksisting atau melemahnya intensitas strategi akuisisi anggota baru.</w:t>
      </w:r>
    </w:p>
    <w:p w14:paraId="06E42EBF" w14:textId="6CA1D680" w:rsidR="00775038" w:rsidRPr="000E4773" w:rsidRDefault="00775038" w:rsidP="000E4773">
      <w:pPr>
        <w:spacing w:after="200" w:line="360" w:lineRule="auto"/>
        <w:jc w:val="both"/>
        <w:rPr>
          <w:sz w:val="24"/>
          <w:szCs w:val="24"/>
        </w:rPr>
      </w:pPr>
      <w:r w:rsidRPr="000E4773">
        <w:rPr>
          <w:sz w:val="24"/>
          <w:szCs w:val="24"/>
        </w:rPr>
        <w:t>Perlu dicatat bahwa dokumen RK-RAPBK Tahun 2026 menetapkan target jumlah anggota sebesar 40.000 orang—angka yang berada di bawah realisasi anggota tahun 2025 sebesar 47.547 orang. Diskrepansi ini kemungkinan besar merupakan kekeliruan penulisan pada dokumen sumber (misalnya keliru mencantumkan target anggota baru sebagai target total anggota). Namun, karena penelitian ini tidak melakukan konfirmasi langsung kepada pengurus koperasi, temuan ini disajikan sebagai catatan yang memerlukan verifikasi lanjutan.</w:t>
      </w:r>
    </w:p>
    <w:p w14:paraId="7AE20BA2" w14:textId="69254644" w:rsidR="00775038" w:rsidRPr="000E4773" w:rsidRDefault="00775038" w:rsidP="000E4773">
      <w:pPr>
        <w:spacing w:after="200" w:line="360" w:lineRule="auto"/>
        <w:jc w:val="both"/>
        <w:rPr>
          <w:b/>
          <w:bCs/>
          <w:sz w:val="24"/>
          <w:szCs w:val="24"/>
        </w:rPr>
      </w:pPr>
      <w:r w:rsidRPr="000E4773">
        <w:rPr>
          <w:b/>
          <w:bCs/>
          <w:sz w:val="24"/>
          <w:szCs w:val="24"/>
        </w:rPr>
        <w:t>Public Value</w:t>
      </w:r>
    </w:p>
    <w:p w14:paraId="4CE5332C" w14:textId="3C822816" w:rsidR="00775038" w:rsidRPr="000E4773" w:rsidRDefault="00775038" w:rsidP="000E4773">
      <w:pPr>
        <w:spacing w:after="200" w:line="360" w:lineRule="auto"/>
        <w:jc w:val="both"/>
        <w:rPr>
          <w:sz w:val="24"/>
          <w:szCs w:val="24"/>
        </w:rPr>
      </w:pPr>
      <w:r w:rsidRPr="000E4773">
        <w:rPr>
          <w:sz w:val="24"/>
          <w:szCs w:val="24"/>
        </w:rPr>
        <w:lastRenderedPageBreak/>
        <w:t>Sejalan dengan karakter dwimandatnya, BMT Mawaddah menciptakan nilai publik pada dua dimensi yang berbeda namun saling terkait: dimensi ekonomi dan dimensi sosial-keagamaan.</w:t>
      </w:r>
    </w:p>
    <w:p w14:paraId="0FE8F96D" w14:textId="31C487A2" w:rsidR="00775038" w:rsidRPr="000E4773" w:rsidRDefault="00775038" w:rsidP="000E4773">
      <w:pPr>
        <w:spacing w:after="200" w:line="360" w:lineRule="auto"/>
        <w:jc w:val="both"/>
        <w:rPr>
          <w:b/>
          <w:bCs/>
          <w:sz w:val="24"/>
          <w:szCs w:val="24"/>
        </w:rPr>
      </w:pPr>
      <w:r w:rsidRPr="000E4773">
        <w:rPr>
          <w:b/>
          <w:bCs/>
          <w:sz w:val="24"/>
          <w:szCs w:val="24"/>
        </w:rPr>
        <w:t>Dimensi Ekonomi</w:t>
      </w:r>
    </w:p>
    <w:p w14:paraId="77B58749" w14:textId="77B6EB0E" w:rsidR="00775038" w:rsidRPr="000E4773" w:rsidRDefault="00775038" w:rsidP="000E4773">
      <w:pPr>
        <w:spacing w:after="200" w:line="360" w:lineRule="auto"/>
        <w:jc w:val="both"/>
        <w:rPr>
          <w:sz w:val="24"/>
          <w:szCs w:val="24"/>
        </w:rPr>
      </w:pPr>
      <w:r w:rsidRPr="000E4773">
        <w:rPr>
          <w:sz w:val="24"/>
          <w:szCs w:val="24"/>
        </w:rPr>
        <w:t>Pada dimensi ekonomi, koperasi membukukan Sisa Hasil Usaha (SHU) sebelum pajak sebesar Rp5.082.423.330 pada Tahun Buku 2025, dengan total aset yang tumbuh dari Rp369.158.946.105 (2024) menjadi Rp421.722.855.436 (2025), meskipun SHU itu sendiri mengalami penurunan nominal dibandingkan tahun sebelumnya yang tercatat sebesar Rp5.534.972.012. Total modal sendiri koperasi mencapai Rp53.104.611.599, yang seluruhnya berasal dari simpanan pokok, simpanan wajib, cadangan umum, dan SHU anggota.</w:t>
      </w:r>
    </w:p>
    <w:p w14:paraId="0A1400AC" w14:textId="2380CE7C" w:rsidR="00775038" w:rsidRPr="000E4773" w:rsidRDefault="00775038" w:rsidP="000E4773">
      <w:pPr>
        <w:spacing w:after="200" w:line="360" w:lineRule="auto"/>
        <w:jc w:val="both"/>
        <w:rPr>
          <w:sz w:val="24"/>
          <w:szCs w:val="24"/>
        </w:rPr>
      </w:pPr>
      <w:r w:rsidRPr="000E4773">
        <w:rPr>
          <w:sz w:val="24"/>
          <w:szCs w:val="24"/>
        </w:rPr>
        <w:t>Pertumbuhan aset sebesar 14,24% menunjukkan ekspansi operasional yang sehat, namun penurunan SHU sebesar 8,18% mengindikasikan adanya tekanan pada profitabilitas yang perlu dicermati. Hal ini dapat disebabkan oleh berbagai faktor, seperti peningkatan biaya operasional, penurunan margin, atau peningkatan pembiayaan bermasalah yang memerlukan analisis lebih lanjut.</w:t>
      </w:r>
    </w:p>
    <w:p w14:paraId="3C6A716B" w14:textId="6911A3D6" w:rsidR="00775038" w:rsidRPr="000E4773" w:rsidRDefault="00775038" w:rsidP="000E4773">
      <w:pPr>
        <w:spacing w:after="200" w:line="360" w:lineRule="auto"/>
        <w:jc w:val="both"/>
        <w:rPr>
          <w:b/>
          <w:bCs/>
          <w:sz w:val="24"/>
          <w:szCs w:val="24"/>
        </w:rPr>
      </w:pPr>
      <w:r w:rsidRPr="000E4773">
        <w:rPr>
          <w:b/>
          <w:bCs/>
          <w:sz w:val="24"/>
          <w:szCs w:val="24"/>
        </w:rPr>
        <w:t>Dimensi Sosial-Keagamaan</w:t>
      </w:r>
    </w:p>
    <w:p w14:paraId="5A8DF2C8" w14:textId="4BDB1337" w:rsidR="00775038" w:rsidRPr="000E4773" w:rsidRDefault="00775038" w:rsidP="000E4773">
      <w:pPr>
        <w:spacing w:after="200" w:line="360" w:lineRule="auto"/>
        <w:jc w:val="both"/>
        <w:rPr>
          <w:sz w:val="24"/>
          <w:szCs w:val="24"/>
        </w:rPr>
      </w:pPr>
      <w:r w:rsidRPr="000E4773">
        <w:rPr>
          <w:sz w:val="24"/>
          <w:szCs w:val="24"/>
        </w:rPr>
        <w:t>Pada dimensi sosial-keagamaan, Laporan Dana Zakat, Infak, dan Sedekah (ZIS) mencatat penerimaan sebesar Rp2.179.296.000 pada tahun 2025, yang bersumber dari koperasi (Rp1.460.000.000), anggota (Rp165.306.000), dan sumber lainnya (Rp97.865.000). Dana tersebut disalurkan sebesar Rp1.620.460.000, baik secara langsung maupun melalui lembaga mitra seperti Yayasan Almiftah Pondok Pesantren Miftahul Ulum Panyepen dan Pengurus Cabang Nahdlatul Ulama Kabupaten Pamekasan. Rasio penyaluran terhadap penerimaan mencapai 74,35%, menunjukkan efektivitas distribusi yang cukup baik.</w:t>
      </w:r>
    </w:p>
    <w:p w14:paraId="12A7C57D" w14:textId="3E508D12" w:rsidR="00775038" w:rsidRPr="000E4773" w:rsidRDefault="000E4773" w:rsidP="000E4773">
      <w:pPr>
        <w:spacing w:after="200" w:line="360" w:lineRule="auto"/>
        <w:jc w:val="both"/>
        <w:rPr>
          <w:b/>
          <w:bCs/>
          <w:sz w:val="24"/>
          <w:szCs w:val="24"/>
        </w:rPr>
      </w:pPr>
      <w:r>
        <w:rPr>
          <w:b/>
          <w:bCs/>
          <w:sz w:val="24"/>
          <w:szCs w:val="24"/>
        </w:rPr>
        <w:t xml:space="preserve">Paradoks </w:t>
      </w:r>
      <w:r w:rsidR="00775038" w:rsidRPr="000E4773">
        <w:rPr>
          <w:b/>
          <w:bCs/>
          <w:sz w:val="24"/>
          <w:szCs w:val="24"/>
        </w:rPr>
        <w:t>antara Dimensi Ekonomi dan Sosial</w:t>
      </w:r>
    </w:p>
    <w:p w14:paraId="4950164A" w14:textId="15A9FA48" w:rsidR="00775038" w:rsidRPr="000E4773" w:rsidRDefault="00775038" w:rsidP="000E4773">
      <w:pPr>
        <w:spacing w:after="200" w:line="360" w:lineRule="auto"/>
        <w:jc w:val="both"/>
        <w:rPr>
          <w:sz w:val="24"/>
          <w:szCs w:val="24"/>
        </w:rPr>
      </w:pPr>
      <w:r w:rsidRPr="000E4773">
        <w:rPr>
          <w:sz w:val="24"/>
          <w:szCs w:val="24"/>
        </w:rPr>
        <w:t xml:space="preserve">Ketegangan antara dimensi ekonomi dan sosial tampak nyata pada keputusan strategis </w:t>
      </w:r>
      <w:r w:rsidRPr="000E4773">
        <w:rPr>
          <w:i/>
          <w:iCs/>
          <w:sz w:val="24"/>
          <w:szCs w:val="24"/>
        </w:rPr>
        <w:t>spin-off</w:t>
      </w:r>
      <w:r w:rsidRPr="000E4773">
        <w:rPr>
          <w:sz w:val="24"/>
          <w:szCs w:val="24"/>
        </w:rPr>
        <w:t xml:space="preserve"> Unit Simpan Pinjam dan Pembiayaan Syariah (USPPS) menjadi entitas KSPPS tersendiri, yang diikuti dengan penyerahan pengelolaan usaha riil (toko modern) sepenuhnya kepada Pondok Pesantren Miftahul Ulum Panyepen. Keputusan ini dapat dibaca sebagai bentuk penataan ulang penciptaan nilai publik: koperasi memfokuskan diri pada nilai ekonomi melalui bisnis inti simpan </w:t>
      </w:r>
      <w:r w:rsidRPr="000E4773">
        <w:rPr>
          <w:sz w:val="24"/>
          <w:szCs w:val="24"/>
        </w:rPr>
        <w:lastRenderedPageBreak/>
        <w:t xml:space="preserve">pinjam syariah, sembari melepas fungsi usaha riil non-inti kembali ke ranah otoritas pesantren yang secara historis dan kultural lebih berwenang mengelolanya. Langkah ini konsisten dengan prinsip </w:t>
      </w:r>
      <w:r w:rsidRPr="000E4773">
        <w:rPr>
          <w:i/>
          <w:iCs/>
          <w:sz w:val="24"/>
          <w:szCs w:val="24"/>
        </w:rPr>
        <w:t>Strategic Triangle</w:t>
      </w:r>
      <w:r w:rsidRPr="000E4773">
        <w:rPr>
          <w:sz w:val="24"/>
          <w:szCs w:val="24"/>
        </w:rPr>
        <w:t xml:space="preserve"> bahwa organisasi perlu mendefinisikan secara jelas dan fokus mengenai nilai publik apa yang hendak diciptakannya, alih-alih menyebar sumber daya pada terlalu banyak lini usaha yang tidak selaras dengan kapasitas inti.</w:t>
      </w:r>
    </w:p>
    <w:p w14:paraId="2073F278" w14:textId="7A45C5F7" w:rsidR="00775038" w:rsidRPr="000E4773" w:rsidRDefault="00775038" w:rsidP="000E4773">
      <w:pPr>
        <w:spacing w:after="200" w:line="360" w:lineRule="auto"/>
        <w:jc w:val="both"/>
        <w:rPr>
          <w:b/>
          <w:bCs/>
          <w:sz w:val="24"/>
          <w:szCs w:val="24"/>
        </w:rPr>
      </w:pPr>
      <w:r w:rsidRPr="000E4773">
        <w:rPr>
          <w:b/>
          <w:bCs/>
          <w:sz w:val="24"/>
          <w:szCs w:val="24"/>
        </w:rPr>
        <w:t>Operational Capacity</w:t>
      </w:r>
    </w:p>
    <w:p w14:paraId="1B29BA6A" w14:textId="59162EF5" w:rsidR="00775038" w:rsidRPr="000E4773" w:rsidRDefault="00775038" w:rsidP="000E4773">
      <w:pPr>
        <w:spacing w:after="200" w:line="360" w:lineRule="auto"/>
        <w:jc w:val="both"/>
        <w:rPr>
          <w:sz w:val="24"/>
          <w:szCs w:val="24"/>
        </w:rPr>
      </w:pPr>
      <w:r w:rsidRPr="000E4773">
        <w:rPr>
          <w:sz w:val="24"/>
          <w:szCs w:val="24"/>
        </w:rPr>
        <w:t>Kapasitas operasional BMT Mawaddah dapat dinilai dari empat aspek: struktur sumber daya manusia, jaringan kelembagaan, kesehatan keuangan, dan intensitas tata kelola.</w:t>
      </w:r>
    </w:p>
    <w:p w14:paraId="2AE13FAA" w14:textId="6241C929" w:rsidR="00775038" w:rsidRPr="000E4773" w:rsidRDefault="00775038" w:rsidP="000E4773">
      <w:pPr>
        <w:spacing w:after="200" w:line="360" w:lineRule="auto"/>
        <w:jc w:val="both"/>
        <w:rPr>
          <w:b/>
          <w:bCs/>
          <w:sz w:val="24"/>
          <w:szCs w:val="24"/>
        </w:rPr>
      </w:pPr>
      <w:r w:rsidRPr="000E4773">
        <w:rPr>
          <w:b/>
          <w:bCs/>
          <w:sz w:val="24"/>
          <w:szCs w:val="24"/>
        </w:rPr>
        <w:t>Sumber Daya Manusia</w:t>
      </w:r>
    </w:p>
    <w:p w14:paraId="1E54175B" w14:textId="5CEA702F" w:rsidR="00775038" w:rsidRPr="000E4773" w:rsidRDefault="00775038" w:rsidP="000E4773">
      <w:pPr>
        <w:spacing w:after="200" w:line="360" w:lineRule="auto"/>
        <w:jc w:val="both"/>
        <w:rPr>
          <w:sz w:val="24"/>
          <w:szCs w:val="24"/>
        </w:rPr>
      </w:pPr>
      <w:r w:rsidRPr="000E4773">
        <w:rPr>
          <w:sz w:val="24"/>
          <w:szCs w:val="24"/>
        </w:rPr>
        <w:t>Dari sisi sumber daya manusia, koperasi dikelola oleh satu Manajer Umum, dua Manajer Area, 18 Kepala Cabang, dan 124 karyawan, dengan struktur manajerial berjenjang yang memungkinkan pengawasan operasional di tingkat cabang. Rasio karyawan terhadap cabang (6,89 karyawan per cabang) menunjukkan adanya kapasitas yang memadai untuk operasional harian, meskipun idealnya perlu dievaluasi berdasarkan beban kerja dan kompleksitas masing-masing cabang.</w:t>
      </w:r>
    </w:p>
    <w:p w14:paraId="1B10B32F" w14:textId="29BFFAA6" w:rsidR="00775038" w:rsidRPr="000E4773" w:rsidRDefault="00775038" w:rsidP="000E4773">
      <w:pPr>
        <w:spacing w:after="200" w:line="360" w:lineRule="auto"/>
        <w:jc w:val="both"/>
        <w:rPr>
          <w:b/>
          <w:bCs/>
          <w:sz w:val="24"/>
          <w:szCs w:val="24"/>
        </w:rPr>
      </w:pPr>
      <w:r w:rsidRPr="000E4773">
        <w:rPr>
          <w:b/>
          <w:bCs/>
          <w:sz w:val="24"/>
          <w:szCs w:val="24"/>
        </w:rPr>
        <w:t>Jaringan Kelembagaan</w:t>
      </w:r>
    </w:p>
    <w:p w14:paraId="6AB6E398" w14:textId="05E4B77F" w:rsidR="00775038" w:rsidRPr="000E4773" w:rsidRDefault="00775038" w:rsidP="000E4773">
      <w:pPr>
        <w:spacing w:after="200" w:line="360" w:lineRule="auto"/>
        <w:jc w:val="both"/>
        <w:rPr>
          <w:sz w:val="24"/>
          <w:szCs w:val="24"/>
        </w:rPr>
      </w:pPr>
      <w:r w:rsidRPr="000E4773">
        <w:rPr>
          <w:sz w:val="24"/>
          <w:szCs w:val="24"/>
        </w:rPr>
        <w:t>Dari sisi jaringan kelembagaan, koperasi mengoperasikan 18 kantor pelayanan yang tersebar di Kabupaten Pamekasan, Kabupaten Sampang, dan wilayah Pandaan, dengan kantor utama berkedudukan di kompleks Pondok Pesantren Miftahul Ulum Panyepen. Jaringan yang tersebar di tiga wilayah ini memungkinkan jangkauan layanan yang luas, namun juga menuntut sistem koordinasi dan pengendalian yang efektif untuk memastikan konsistensi kualitas layanan dan kepatuhan syariah di seluruh cabang.</w:t>
      </w:r>
    </w:p>
    <w:p w14:paraId="0546300A" w14:textId="35532389" w:rsidR="00775038" w:rsidRPr="000E4773" w:rsidRDefault="00775038" w:rsidP="000E4773">
      <w:pPr>
        <w:spacing w:after="200" w:line="360" w:lineRule="auto"/>
        <w:jc w:val="both"/>
        <w:rPr>
          <w:b/>
          <w:bCs/>
          <w:sz w:val="24"/>
          <w:szCs w:val="24"/>
        </w:rPr>
      </w:pPr>
      <w:r w:rsidRPr="000E4773">
        <w:rPr>
          <w:b/>
          <w:bCs/>
          <w:sz w:val="24"/>
          <w:szCs w:val="24"/>
        </w:rPr>
        <w:t>Kesehatan Keuangan</w:t>
      </w:r>
    </w:p>
    <w:p w14:paraId="70AD9FBC" w14:textId="77EEFFF4" w:rsidR="00775038" w:rsidRPr="000E4773" w:rsidRDefault="00775038" w:rsidP="000E4773">
      <w:pPr>
        <w:spacing w:after="200" w:line="360" w:lineRule="auto"/>
        <w:jc w:val="both"/>
        <w:rPr>
          <w:sz w:val="24"/>
          <w:szCs w:val="24"/>
        </w:rPr>
      </w:pPr>
      <w:r w:rsidRPr="000E4773">
        <w:rPr>
          <w:sz w:val="24"/>
          <w:szCs w:val="24"/>
        </w:rPr>
        <w:t>Tabel 2 menyajikan ringkasan rasio tingkat kesehatan koperasi berdasarkan hasil analisis rasio dalam Laporan Pengurus.</w:t>
      </w:r>
    </w:p>
    <w:p w14:paraId="4FD5E0AA" w14:textId="1449B87D" w:rsidR="00775038" w:rsidRPr="000E4773" w:rsidRDefault="00775038" w:rsidP="000E4773">
      <w:pPr>
        <w:spacing w:after="200" w:line="360" w:lineRule="auto"/>
        <w:jc w:val="both"/>
        <w:rPr>
          <w:sz w:val="24"/>
          <w:szCs w:val="24"/>
        </w:rPr>
      </w:pPr>
      <w:r w:rsidRPr="000E4773">
        <w:rPr>
          <w:b/>
          <w:bCs/>
          <w:sz w:val="24"/>
          <w:szCs w:val="24"/>
        </w:rPr>
        <w:t>Tabel 2. Ringkasan Rasio Tingkat Kesehatan Koperasi per 31 Desember 2025</w:t>
      </w:r>
    </w:p>
    <w:tbl>
      <w:tblPr>
        <w:tblStyle w:val="PlainTable2"/>
        <w:tblW w:w="9053" w:type="dxa"/>
        <w:tblLook w:val="04A0" w:firstRow="1" w:lastRow="0" w:firstColumn="1" w:lastColumn="0" w:noHBand="0" w:noVBand="1"/>
      </w:tblPr>
      <w:tblGrid>
        <w:gridCol w:w="5670"/>
        <w:gridCol w:w="1308"/>
        <w:gridCol w:w="2075"/>
      </w:tblGrid>
      <w:tr w:rsidR="00775038" w:rsidRPr="000E4773" w14:paraId="743F1356" w14:textId="77777777" w:rsidTr="000E47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hideMark/>
          </w:tcPr>
          <w:p w14:paraId="5B18ACDA" w14:textId="77777777" w:rsidR="00775038" w:rsidRPr="000E4773" w:rsidRDefault="00775038" w:rsidP="000E4773">
            <w:pPr>
              <w:spacing w:after="200"/>
              <w:jc w:val="both"/>
              <w:rPr>
                <w:b w:val="0"/>
                <w:bCs w:val="0"/>
                <w:sz w:val="24"/>
                <w:szCs w:val="24"/>
              </w:rPr>
            </w:pPr>
            <w:r w:rsidRPr="000E4773">
              <w:rPr>
                <w:b w:val="0"/>
                <w:bCs w:val="0"/>
                <w:sz w:val="24"/>
                <w:szCs w:val="24"/>
              </w:rPr>
              <w:t>Aspek</w:t>
            </w:r>
          </w:p>
        </w:tc>
        <w:tc>
          <w:tcPr>
            <w:tcW w:w="0" w:type="auto"/>
            <w:hideMark/>
          </w:tcPr>
          <w:p w14:paraId="5CAC11E4" w14:textId="77777777" w:rsidR="00775038" w:rsidRPr="000E4773" w:rsidRDefault="00775038" w:rsidP="000E4773">
            <w:pPr>
              <w:spacing w:after="200"/>
              <w:jc w:val="both"/>
              <w:cnfStyle w:val="100000000000" w:firstRow="1" w:lastRow="0" w:firstColumn="0" w:lastColumn="0" w:oddVBand="0" w:evenVBand="0" w:oddHBand="0" w:evenHBand="0" w:firstRowFirstColumn="0" w:firstRowLastColumn="0" w:lastRowFirstColumn="0" w:lastRowLastColumn="0"/>
              <w:rPr>
                <w:sz w:val="24"/>
                <w:szCs w:val="24"/>
              </w:rPr>
            </w:pPr>
            <w:r w:rsidRPr="000E4773">
              <w:rPr>
                <w:sz w:val="24"/>
                <w:szCs w:val="24"/>
              </w:rPr>
              <w:t>Rasio</w:t>
            </w:r>
          </w:p>
        </w:tc>
        <w:tc>
          <w:tcPr>
            <w:tcW w:w="0" w:type="auto"/>
            <w:hideMark/>
          </w:tcPr>
          <w:p w14:paraId="50374AD8" w14:textId="77777777" w:rsidR="00775038" w:rsidRPr="000E4773" w:rsidRDefault="00775038" w:rsidP="000E4773">
            <w:pPr>
              <w:spacing w:after="200"/>
              <w:jc w:val="both"/>
              <w:cnfStyle w:val="100000000000" w:firstRow="1" w:lastRow="0" w:firstColumn="0" w:lastColumn="0" w:oddVBand="0" w:evenVBand="0" w:oddHBand="0" w:evenHBand="0" w:firstRowFirstColumn="0" w:firstRowLastColumn="0" w:lastRowFirstColumn="0" w:lastRowLastColumn="0"/>
              <w:rPr>
                <w:sz w:val="24"/>
                <w:szCs w:val="24"/>
              </w:rPr>
            </w:pPr>
            <w:r w:rsidRPr="000E4773">
              <w:rPr>
                <w:sz w:val="24"/>
                <w:szCs w:val="24"/>
              </w:rPr>
              <w:t>Kategori</w:t>
            </w:r>
          </w:p>
        </w:tc>
      </w:tr>
      <w:tr w:rsidR="00775038" w:rsidRPr="000E4773" w14:paraId="4AA6BEC5" w14:textId="77777777" w:rsidTr="000E47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hideMark/>
          </w:tcPr>
          <w:p w14:paraId="32D5C666" w14:textId="0A5A2852" w:rsidR="00775038" w:rsidRPr="000E4773" w:rsidRDefault="00775038" w:rsidP="000E4773">
            <w:pPr>
              <w:spacing w:after="200"/>
              <w:jc w:val="both"/>
              <w:rPr>
                <w:b w:val="0"/>
                <w:bCs w:val="0"/>
                <w:sz w:val="24"/>
                <w:szCs w:val="24"/>
              </w:rPr>
            </w:pPr>
            <w:r w:rsidRPr="000E4773">
              <w:rPr>
                <w:b w:val="0"/>
                <w:bCs w:val="0"/>
                <w:sz w:val="24"/>
                <w:szCs w:val="24"/>
              </w:rPr>
              <w:lastRenderedPageBreak/>
              <w:t>Modal sendiri terhadap total aset</w:t>
            </w:r>
          </w:p>
        </w:tc>
        <w:tc>
          <w:tcPr>
            <w:tcW w:w="0" w:type="auto"/>
            <w:hideMark/>
          </w:tcPr>
          <w:p w14:paraId="4E291025" w14:textId="77777777" w:rsidR="00775038" w:rsidRPr="000E4773" w:rsidRDefault="00775038" w:rsidP="000E4773">
            <w:pPr>
              <w:spacing w:after="200"/>
              <w:jc w:val="both"/>
              <w:cnfStyle w:val="000000100000" w:firstRow="0" w:lastRow="0" w:firstColumn="0" w:lastColumn="0" w:oddVBand="0" w:evenVBand="0" w:oddHBand="1" w:evenHBand="0" w:firstRowFirstColumn="0" w:firstRowLastColumn="0" w:lastRowFirstColumn="0" w:lastRowLastColumn="0"/>
              <w:rPr>
                <w:sz w:val="24"/>
                <w:szCs w:val="24"/>
              </w:rPr>
            </w:pPr>
            <w:r w:rsidRPr="000E4773">
              <w:rPr>
                <w:sz w:val="24"/>
                <w:szCs w:val="24"/>
              </w:rPr>
              <w:t>12,59%</w:t>
            </w:r>
          </w:p>
        </w:tc>
        <w:tc>
          <w:tcPr>
            <w:tcW w:w="0" w:type="auto"/>
            <w:hideMark/>
          </w:tcPr>
          <w:p w14:paraId="185D3429" w14:textId="77777777" w:rsidR="00775038" w:rsidRPr="000E4773" w:rsidRDefault="00775038" w:rsidP="000E4773">
            <w:pPr>
              <w:spacing w:after="200"/>
              <w:jc w:val="both"/>
              <w:cnfStyle w:val="000000100000" w:firstRow="0" w:lastRow="0" w:firstColumn="0" w:lastColumn="0" w:oddVBand="0" w:evenVBand="0" w:oddHBand="1" w:evenHBand="0" w:firstRowFirstColumn="0" w:firstRowLastColumn="0" w:lastRowFirstColumn="0" w:lastRowLastColumn="0"/>
              <w:rPr>
                <w:sz w:val="24"/>
                <w:szCs w:val="24"/>
              </w:rPr>
            </w:pPr>
            <w:r w:rsidRPr="000E4773">
              <w:rPr>
                <w:sz w:val="24"/>
                <w:szCs w:val="24"/>
              </w:rPr>
              <w:t>Permodalan</w:t>
            </w:r>
          </w:p>
        </w:tc>
      </w:tr>
      <w:tr w:rsidR="00775038" w:rsidRPr="000E4773" w14:paraId="1FBC1CF0" w14:textId="77777777" w:rsidTr="000E4773">
        <w:tc>
          <w:tcPr>
            <w:cnfStyle w:val="001000000000" w:firstRow="0" w:lastRow="0" w:firstColumn="1" w:lastColumn="0" w:oddVBand="0" w:evenVBand="0" w:oddHBand="0" w:evenHBand="0" w:firstRowFirstColumn="0" w:firstRowLastColumn="0" w:lastRowFirstColumn="0" w:lastRowLastColumn="0"/>
            <w:tcW w:w="5670" w:type="dxa"/>
            <w:hideMark/>
          </w:tcPr>
          <w:p w14:paraId="79F1560B" w14:textId="7C7E544B" w:rsidR="00775038" w:rsidRPr="000E4773" w:rsidRDefault="00775038" w:rsidP="000E4773">
            <w:pPr>
              <w:spacing w:after="200"/>
              <w:jc w:val="both"/>
              <w:rPr>
                <w:b w:val="0"/>
                <w:bCs w:val="0"/>
                <w:sz w:val="24"/>
                <w:szCs w:val="24"/>
              </w:rPr>
            </w:pPr>
            <w:r w:rsidRPr="000E4773">
              <w:rPr>
                <w:b w:val="0"/>
                <w:bCs w:val="0"/>
                <w:sz w:val="24"/>
                <w:szCs w:val="24"/>
              </w:rPr>
              <w:t>Modal sendiri terhadap pinjaman diberikan</w:t>
            </w:r>
          </w:p>
        </w:tc>
        <w:tc>
          <w:tcPr>
            <w:tcW w:w="0" w:type="auto"/>
            <w:hideMark/>
          </w:tcPr>
          <w:p w14:paraId="3A7ED2F7" w14:textId="77777777" w:rsidR="00775038" w:rsidRPr="000E4773" w:rsidRDefault="00775038" w:rsidP="000E4773">
            <w:pPr>
              <w:spacing w:after="200"/>
              <w:jc w:val="both"/>
              <w:cnfStyle w:val="000000000000" w:firstRow="0" w:lastRow="0" w:firstColumn="0" w:lastColumn="0" w:oddVBand="0" w:evenVBand="0" w:oddHBand="0" w:evenHBand="0" w:firstRowFirstColumn="0" w:firstRowLastColumn="0" w:lastRowFirstColumn="0" w:lastRowLastColumn="0"/>
              <w:rPr>
                <w:sz w:val="24"/>
                <w:szCs w:val="24"/>
              </w:rPr>
            </w:pPr>
            <w:r w:rsidRPr="000E4773">
              <w:rPr>
                <w:sz w:val="24"/>
                <w:szCs w:val="24"/>
              </w:rPr>
              <w:t>23,60%</w:t>
            </w:r>
          </w:p>
        </w:tc>
        <w:tc>
          <w:tcPr>
            <w:tcW w:w="0" w:type="auto"/>
            <w:hideMark/>
          </w:tcPr>
          <w:p w14:paraId="2E702805" w14:textId="77777777" w:rsidR="00775038" w:rsidRPr="000E4773" w:rsidRDefault="00775038" w:rsidP="000E4773">
            <w:pPr>
              <w:spacing w:after="200"/>
              <w:jc w:val="both"/>
              <w:cnfStyle w:val="000000000000" w:firstRow="0" w:lastRow="0" w:firstColumn="0" w:lastColumn="0" w:oddVBand="0" w:evenVBand="0" w:oddHBand="0" w:evenHBand="0" w:firstRowFirstColumn="0" w:firstRowLastColumn="0" w:lastRowFirstColumn="0" w:lastRowLastColumn="0"/>
              <w:rPr>
                <w:sz w:val="24"/>
                <w:szCs w:val="24"/>
              </w:rPr>
            </w:pPr>
            <w:r w:rsidRPr="000E4773">
              <w:rPr>
                <w:sz w:val="24"/>
                <w:szCs w:val="24"/>
              </w:rPr>
              <w:t>Permodalan</w:t>
            </w:r>
          </w:p>
        </w:tc>
      </w:tr>
      <w:tr w:rsidR="00775038" w:rsidRPr="000E4773" w14:paraId="61E1609B" w14:textId="77777777" w:rsidTr="000E47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hideMark/>
          </w:tcPr>
          <w:p w14:paraId="0EAEE3DB" w14:textId="55C8568B" w:rsidR="00775038" w:rsidRPr="000E4773" w:rsidRDefault="00775038" w:rsidP="000E4773">
            <w:pPr>
              <w:spacing w:after="200"/>
              <w:jc w:val="both"/>
              <w:rPr>
                <w:b w:val="0"/>
                <w:bCs w:val="0"/>
                <w:sz w:val="24"/>
                <w:szCs w:val="24"/>
              </w:rPr>
            </w:pPr>
            <w:r w:rsidRPr="000E4773">
              <w:rPr>
                <w:b w:val="0"/>
                <w:bCs w:val="0"/>
                <w:sz w:val="24"/>
                <w:szCs w:val="24"/>
              </w:rPr>
              <w:t>Kredit non-lancar (NPL)</w:t>
            </w:r>
          </w:p>
        </w:tc>
        <w:tc>
          <w:tcPr>
            <w:tcW w:w="0" w:type="auto"/>
            <w:hideMark/>
          </w:tcPr>
          <w:p w14:paraId="6667F2AB" w14:textId="77777777" w:rsidR="00775038" w:rsidRPr="000E4773" w:rsidRDefault="00775038" w:rsidP="000E4773">
            <w:pPr>
              <w:spacing w:after="200"/>
              <w:jc w:val="both"/>
              <w:cnfStyle w:val="000000100000" w:firstRow="0" w:lastRow="0" w:firstColumn="0" w:lastColumn="0" w:oddVBand="0" w:evenVBand="0" w:oddHBand="1" w:evenHBand="0" w:firstRowFirstColumn="0" w:firstRowLastColumn="0" w:lastRowFirstColumn="0" w:lastRowLastColumn="0"/>
              <w:rPr>
                <w:sz w:val="24"/>
                <w:szCs w:val="24"/>
              </w:rPr>
            </w:pPr>
            <w:r w:rsidRPr="000E4773">
              <w:rPr>
                <w:sz w:val="24"/>
                <w:szCs w:val="24"/>
              </w:rPr>
              <w:t>4,74%</w:t>
            </w:r>
          </w:p>
        </w:tc>
        <w:tc>
          <w:tcPr>
            <w:tcW w:w="0" w:type="auto"/>
            <w:hideMark/>
          </w:tcPr>
          <w:p w14:paraId="3CD5671C" w14:textId="62580C63" w:rsidR="00775038" w:rsidRPr="000E4773" w:rsidRDefault="00775038" w:rsidP="000E4773">
            <w:pPr>
              <w:spacing w:after="200"/>
              <w:jc w:val="both"/>
              <w:cnfStyle w:val="000000100000" w:firstRow="0" w:lastRow="0" w:firstColumn="0" w:lastColumn="0" w:oddVBand="0" w:evenVBand="0" w:oddHBand="1" w:evenHBand="0" w:firstRowFirstColumn="0" w:firstRowLastColumn="0" w:lastRowFirstColumn="0" w:lastRowLastColumn="0"/>
              <w:rPr>
                <w:sz w:val="24"/>
                <w:szCs w:val="24"/>
              </w:rPr>
            </w:pPr>
            <w:r w:rsidRPr="000E4773">
              <w:rPr>
                <w:sz w:val="24"/>
                <w:szCs w:val="24"/>
              </w:rPr>
              <w:t>Kualitas Aset</w:t>
            </w:r>
          </w:p>
        </w:tc>
      </w:tr>
      <w:tr w:rsidR="00775038" w:rsidRPr="000E4773" w14:paraId="2C4D21D2" w14:textId="77777777" w:rsidTr="000E4773">
        <w:tc>
          <w:tcPr>
            <w:cnfStyle w:val="001000000000" w:firstRow="0" w:lastRow="0" w:firstColumn="1" w:lastColumn="0" w:oddVBand="0" w:evenVBand="0" w:oddHBand="0" w:evenHBand="0" w:firstRowFirstColumn="0" w:firstRowLastColumn="0" w:lastRowFirstColumn="0" w:lastRowLastColumn="0"/>
            <w:tcW w:w="5670" w:type="dxa"/>
            <w:hideMark/>
          </w:tcPr>
          <w:p w14:paraId="1E44066F" w14:textId="4E0E4C69" w:rsidR="00775038" w:rsidRPr="000E4773" w:rsidRDefault="00775038" w:rsidP="000E4773">
            <w:pPr>
              <w:spacing w:after="200"/>
              <w:jc w:val="both"/>
              <w:rPr>
                <w:b w:val="0"/>
                <w:bCs w:val="0"/>
                <w:sz w:val="24"/>
                <w:szCs w:val="24"/>
              </w:rPr>
            </w:pPr>
            <w:r w:rsidRPr="000E4773">
              <w:rPr>
                <w:b w:val="0"/>
                <w:bCs w:val="0"/>
                <w:sz w:val="24"/>
                <w:szCs w:val="24"/>
              </w:rPr>
              <w:t>SHU sebelum pajak terhadap pendapatan operasional</w:t>
            </w:r>
          </w:p>
        </w:tc>
        <w:tc>
          <w:tcPr>
            <w:tcW w:w="0" w:type="auto"/>
            <w:hideMark/>
          </w:tcPr>
          <w:p w14:paraId="32B787EC" w14:textId="77777777" w:rsidR="00775038" w:rsidRPr="000E4773" w:rsidRDefault="00775038" w:rsidP="000E4773">
            <w:pPr>
              <w:spacing w:after="200"/>
              <w:jc w:val="both"/>
              <w:cnfStyle w:val="000000000000" w:firstRow="0" w:lastRow="0" w:firstColumn="0" w:lastColumn="0" w:oddVBand="0" w:evenVBand="0" w:oddHBand="0" w:evenHBand="0" w:firstRowFirstColumn="0" w:firstRowLastColumn="0" w:lastRowFirstColumn="0" w:lastRowLastColumn="0"/>
              <w:rPr>
                <w:sz w:val="24"/>
                <w:szCs w:val="24"/>
              </w:rPr>
            </w:pPr>
            <w:r w:rsidRPr="000E4773">
              <w:rPr>
                <w:sz w:val="24"/>
                <w:szCs w:val="24"/>
              </w:rPr>
              <w:t>16,61%</w:t>
            </w:r>
          </w:p>
        </w:tc>
        <w:tc>
          <w:tcPr>
            <w:tcW w:w="0" w:type="auto"/>
            <w:hideMark/>
          </w:tcPr>
          <w:p w14:paraId="45E63A08" w14:textId="77777777" w:rsidR="00775038" w:rsidRPr="000E4773" w:rsidRDefault="00775038" w:rsidP="000E4773">
            <w:pPr>
              <w:spacing w:after="200"/>
              <w:jc w:val="both"/>
              <w:cnfStyle w:val="000000000000" w:firstRow="0" w:lastRow="0" w:firstColumn="0" w:lastColumn="0" w:oddVBand="0" w:evenVBand="0" w:oddHBand="0" w:evenHBand="0" w:firstRowFirstColumn="0" w:firstRowLastColumn="0" w:lastRowFirstColumn="0" w:lastRowLastColumn="0"/>
              <w:rPr>
                <w:sz w:val="24"/>
                <w:szCs w:val="24"/>
              </w:rPr>
            </w:pPr>
            <w:r w:rsidRPr="000E4773">
              <w:rPr>
                <w:sz w:val="24"/>
                <w:szCs w:val="24"/>
              </w:rPr>
              <w:t>Rentabilitas</w:t>
            </w:r>
          </w:p>
        </w:tc>
      </w:tr>
      <w:tr w:rsidR="00775038" w:rsidRPr="000E4773" w14:paraId="01CBBFC4" w14:textId="77777777" w:rsidTr="000E47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hideMark/>
          </w:tcPr>
          <w:p w14:paraId="261731C2" w14:textId="1E940C66" w:rsidR="00775038" w:rsidRPr="000E4773" w:rsidRDefault="00775038" w:rsidP="000E4773">
            <w:pPr>
              <w:spacing w:after="200"/>
              <w:jc w:val="both"/>
              <w:rPr>
                <w:b w:val="0"/>
                <w:bCs w:val="0"/>
                <w:sz w:val="24"/>
                <w:szCs w:val="24"/>
              </w:rPr>
            </w:pPr>
            <w:r w:rsidRPr="000E4773">
              <w:rPr>
                <w:b w:val="0"/>
                <w:bCs w:val="0"/>
                <w:sz w:val="24"/>
                <w:szCs w:val="24"/>
              </w:rPr>
              <w:t>SHU sebelum pajak terhadap total aset</w:t>
            </w:r>
          </w:p>
        </w:tc>
        <w:tc>
          <w:tcPr>
            <w:tcW w:w="0" w:type="auto"/>
            <w:hideMark/>
          </w:tcPr>
          <w:p w14:paraId="62DCA95B" w14:textId="77777777" w:rsidR="00775038" w:rsidRPr="000E4773" w:rsidRDefault="00775038" w:rsidP="000E4773">
            <w:pPr>
              <w:spacing w:after="200"/>
              <w:jc w:val="both"/>
              <w:cnfStyle w:val="000000100000" w:firstRow="0" w:lastRow="0" w:firstColumn="0" w:lastColumn="0" w:oddVBand="0" w:evenVBand="0" w:oddHBand="1" w:evenHBand="0" w:firstRowFirstColumn="0" w:firstRowLastColumn="0" w:lastRowFirstColumn="0" w:lastRowLastColumn="0"/>
              <w:rPr>
                <w:sz w:val="24"/>
                <w:szCs w:val="24"/>
              </w:rPr>
            </w:pPr>
            <w:r w:rsidRPr="000E4773">
              <w:rPr>
                <w:sz w:val="24"/>
                <w:szCs w:val="24"/>
              </w:rPr>
              <w:t>1,21%</w:t>
            </w:r>
          </w:p>
        </w:tc>
        <w:tc>
          <w:tcPr>
            <w:tcW w:w="0" w:type="auto"/>
            <w:hideMark/>
          </w:tcPr>
          <w:p w14:paraId="4659E5A5" w14:textId="77777777" w:rsidR="00775038" w:rsidRPr="000E4773" w:rsidRDefault="00775038" w:rsidP="000E4773">
            <w:pPr>
              <w:spacing w:after="200"/>
              <w:jc w:val="both"/>
              <w:cnfStyle w:val="000000100000" w:firstRow="0" w:lastRow="0" w:firstColumn="0" w:lastColumn="0" w:oddVBand="0" w:evenVBand="0" w:oddHBand="1" w:evenHBand="0" w:firstRowFirstColumn="0" w:firstRowLastColumn="0" w:lastRowFirstColumn="0" w:lastRowLastColumn="0"/>
              <w:rPr>
                <w:sz w:val="24"/>
                <w:szCs w:val="24"/>
              </w:rPr>
            </w:pPr>
            <w:r w:rsidRPr="000E4773">
              <w:rPr>
                <w:sz w:val="24"/>
                <w:szCs w:val="24"/>
              </w:rPr>
              <w:t>Rentabilitas</w:t>
            </w:r>
          </w:p>
        </w:tc>
      </w:tr>
      <w:tr w:rsidR="00775038" w:rsidRPr="000E4773" w14:paraId="18364F11" w14:textId="77777777" w:rsidTr="000E4773">
        <w:tc>
          <w:tcPr>
            <w:cnfStyle w:val="001000000000" w:firstRow="0" w:lastRow="0" w:firstColumn="1" w:lastColumn="0" w:oddVBand="0" w:evenVBand="0" w:oddHBand="0" w:evenHBand="0" w:firstRowFirstColumn="0" w:firstRowLastColumn="0" w:lastRowFirstColumn="0" w:lastRowLastColumn="0"/>
            <w:tcW w:w="5670" w:type="dxa"/>
            <w:hideMark/>
          </w:tcPr>
          <w:p w14:paraId="008866FF" w14:textId="65D44CA9" w:rsidR="00775038" w:rsidRPr="000E4773" w:rsidRDefault="00775038" w:rsidP="000E4773">
            <w:pPr>
              <w:spacing w:after="200"/>
              <w:jc w:val="both"/>
              <w:rPr>
                <w:b w:val="0"/>
                <w:bCs w:val="0"/>
                <w:sz w:val="24"/>
                <w:szCs w:val="24"/>
              </w:rPr>
            </w:pPr>
            <w:r w:rsidRPr="000E4773">
              <w:rPr>
                <w:b w:val="0"/>
                <w:bCs w:val="0"/>
                <w:sz w:val="24"/>
                <w:szCs w:val="24"/>
              </w:rPr>
              <w:t>Beban operasional terhadap pendapatan operasional</w:t>
            </w:r>
          </w:p>
        </w:tc>
        <w:tc>
          <w:tcPr>
            <w:tcW w:w="0" w:type="auto"/>
            <w:hideMark/>
          </w:tcPr>
          <w:p w14:paraId="0BE3FF3D" w14:textId="77777777" w:rsidR="00775038" w:rsidRPr="000E4773" w:rsidRDefault="00775038" w:rsidP="000E4773">
            <w:pPr>
              <w:spacing w:after="200"/>
              <w:jc w:val="both"/>
              <w:cnfStyle w:val="000000000000" w:firstRow="0" w:lastRow="0" w:firstColumn="0" w:lastColumn="0" w:oddVBand="0" w:evenVBand="0" w:oddHBand="0" w:evenHBand="0" w:firstRowFirstColumn="0" w:firstRowLastColumn="0" w:lastRowFirstColumn="0" w:lastRowLastColumn="0"/>
              <w:rPr>
                <w:sz w:val="24"/>
                <w:szCs w:val="24"/>
              </w:rPr>
            </w:pPr>
            <w:r w:rsidRPr="000E4773">
              <w:rPr>
                <w:sz w:val="24"/>
                <w:szCs w:val="24"/>
              </w:rPr>
              <w:t>61,55%</w:t>
            </w:r>
          </w:p>
        </w:tc>
        <w:tc>
          <w:tcPr>
            <w:tcW w:w="0" w:type="auto"/>
            <w:hideMark/>
          </w:tcPr>
          <w:p w14:paraId="44C36CEB" w14:textId="77777777" w:rsidR="00775038" w:rsidRPr="000E4773" w:rsidRDefault="00775038" w:rsidP="000E4773">
            <w:pPr>
              <w:spacing w:after="200"/>
              <w:jc w:val="both"/>
              <w:cnfStyle w:val="000000000000" w:firstRow="0" w:lastRow="0" w:firstColumn="0" w:lastColumn="0" w:oddVBand="0" w:evenVBand="0" w:oddHBand="0" w:evenHBand="0" w:firstRowFirstColumn="0" w:firstRowLastColumn="0" w:lastRowFirstColumn="0" w:lastRowLastColumn="0"/>
              <w:rPr>
                <w:sz w:val="24"/>
                <w:szCs w:val="24"/>
              </w:rPr>
            </w:pPr>
            <w:r w:rsidRPr="000E4773">
              <w:rPr>
                <w:sz w:val="24"/>
                <w:szCs w:val="24"/>
              </w:rPr>
              <w:t>Rentabilitas</w:t>
            </w:r>
          </w:p>
        </w:tc>
      </w:tr>
      <w:tr w:rsidR="00775038" w:rsidRPr="000E4773" w14:paraId="145CD817" w14:textId="77777777" w:rsidTr="000E47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hideMark/>
          </w:tcPr>
          <w:p w14:paraId="7684071B" w14:textId="4913D5CA" w:rsidR="00775038" w:rsidRPr="000E4773" w:rsidRDefault="00775038" w:rsidP="000E4773">
            <w:pPr>
              <w:spacing w:after="200"/>
              <w:jc w:val="both"/>
              <w:rPr>
                <w:b w:val="0"/>
                <w:bCs w:val="0"/>
                <w:sz w:val="24"/>
                <w:szCs w:val="24"/>
              </w:rPr>
            </w:pPr>
            <w:r w:rsidRPr="000E4773">
              <w:rPr>
                <w:b w:val="0"/>
                <w:bCs w:val="0"/>
                <w:sz w:val="24"/>
                <w:szCs w:val="24"/>
              </w:rPr>
              <w:t>Pinjaman diberikan terhadap dana diterima</w:t>
            </w:r>
          </w:p>
        </w:tc>
        <w:tc>
          <w:tcPr>
            <w:tcW w:w="0" w:type="auto"/>
            <w:hideMark/>
          </w:tcPr>
          <w:p w14:paraId="42117F09" w14:textId="77777777" w:rsidR="00775038" w:rsidRPr="000E4773" w:rsidRDefault="00775038" w:rsidP="000E4773">
            <w:pPr>
              <w:spacing w:after="200"/>
              <w:jc w:val="both"/>
              <w:cnfStyle w:val="000000100000" w:firstRow="0" w:lastRow="0" w:firstColumn="0" w:lastColumn="0" w:oddVBand="0" w:evenVBand="0" w:oddHBand="1" w:evenHBand="0" w:firstRowFirstColumn="0" w:firstRowLastColumn="0" w:lastRowFirstColumn="0" w:lastRowLastColumn="0"/>
              <w:rPr>
                <w:sz w:val="24"/>
                <w:szCs w:val="24"/>
              </w:rPr>
            </w:pPr>
            <w:r w:rsidRPr="000E4773">
              <w:rPr>
                <w:sz w:val="24"/>
                <w:szCs w:val="24"/>
              </w:rPr>
              <w:t>64,31%</w:t>
            </w:r>
          </w:p>
        </w:tc>
        <w:tc>
          <w:tcPr>
            <w:tcW w:w="0" w:type="auto"/>
            <w:hideMark/>
          </w:tcPr>
          <w:p w14:paraId="34434939" w14:textId="77777777" w:rsidR="00775038" w:rsidRPr="000E4773" w:rsidRDefault="00775038" w:rsidP="000E4773">
            <w:pPr>
              <w:spacing w:after="200"/>
              <w:jc w:val="both"/>
              <w:cnfStyle w:val="000000100000" w:firstRow="0" w:lastRow="0" w:firstColumn="0" w:lastColumn="0" w:oddVBand="0" w:evenVBand="0" w:oddHBand="1" w:evenHBand="0" w:firstRowFirstColumn="0" w:firstRowLastColumn="0" w:lastRowFirstColumn="0" w:lastRowLastColumn="0"/>
              <w:rPr>
                <w:sz w:val="24"/>
                <w:szCs w:val="24"/>
              </w:rPr>
            </w:pPr>
            <w:r w:rsidRPr="000E4773">
              <w:rPr>
                <w:sz w:val="24"/>
                <w:szCs w:val="24"/>
              </w:rPr>
              <w:t>Likuiditas</w:t>
            </w:r>
          </w:p>
        </w:tc>
      </w:tr>
    </w:tbl>
    <w:p w14:paraId="48DAAFAA" w14:textId="5B907492" w:rsidR="00775038" w:rsidRPr="000E4773" w:rsidRDefault="00775038" w:rsidP="000E4773">
      <w:pPr>
        <w:spacing w:after="200" w:line="360" w:lineRule="auto"/>
        <w:jc w:val="both"/>
        <w:rPr>
          <w:sz w:val="24"/>
          <w:szCs w:val="24"/>
        </w:rPr>
      </w:pPr>
      <w:r w:rsidRPr="000E4773">
        <w:rPr>
          <w:i/>
          <w:iCs/>
          <w:sz w:val="24"/>
          <w:szCs w:val="24"/>
        </w:rPr>
        <w:t>Sumber: Laporan Pengurus RAT Tahun Buku 2025, bagian Analisis Rasio</w:t>
      </w:r>
    </w:p>
    <w:p w14:paraId="0891E746" w14:textId="3BA84330" w:rsidR="00775038" w:rsidRPr="000E4773" w:rsidRDefault="00775038" w:rsidP="000E4773">
      <w:pPr>
        <w:spacing w:after="200" w:line="360" w:lineRule="auto"/>
        <w:jc w:val="both"/>
        <w:rPr>
          <w:sz w:val="24"/>
          <w:szCs w:val="24"/>
        </w:rPr>
      </w:pPr>
      <w:r w:rsidRPr="000E4773">
        <w:rPr>
          <w:sz w:val="24"/>
          <w:szCs w:val="24"/>
        </w:rPr>
        <w:t xml:space="preserve">Rasio NPL sebesar 4,74% berada dalam batas yang secara umum dianggap wajar untuk lembaga keuangan mikro. Namun, penilaian ini idealnya dibandingkan dengan ambang batas resmi yang ditetapkan regulator (Kementerian Koperasi dan UKM atau Otoritas Jasa Keuangan) untuk kategori KSPPS. Rasio modal sendiri terhadap total aset sebesar 12,59% menunjukkan struktur permodalan yang masih didominasi oleh dana pihak ketiga (simpanan anggota dan dana </w:t>
      </w:r>
      <w:r w:rsidRPr="000E4773">
        <w:rPr>
          <w:i/>
          <w:iCs/>
          <w:sz w:val="24"/>
          <w:szCs w:val="24"/>
        </w:rPr>
        <w:t>syirkah</w:t>
      </w:r>
      <w:r w:rsidRPr="000E4773">
        <w:rPr>
          <w:sz w:val="24"/>
          <w:szCs w:val="24"/>
        </w:rPr>
        <w:t xml:space="preserve"> temporer), sebuah karakteristik umum pada lembaga keuangan mikro, namun tetap relevan untuk dicermati sebagai indikator ketergantungan terhadap kepercayaan eksternal.</w:t>
      </w:r>
    </w:p>
    <w:p w14:paraId="60622C17" w14:textId="4EDBB0A8" w:rsidR="00775038" w:rsidRPr="000E4773" w:rsidRDefault="00775038" w:rsidP="000E4773">
      <w:pPr>
        <w:spacing w:after="200" w:line="360" w:lineRule="auto"/>
        <w:jc w:val="both"/>
        <w:rPr>
          <w:sz w:val="24"/>
          <w:szCs w:val="24"/>
        </w:rPr>
      </w:pPr>
      <w:r w:rsidRPr="000E4773">
        <w:rPr>
          <w:sz w:val="24"/>
          <w:szCs w:val="24"/>
        </w:rPr>
        <w:t>Rasio beban operasional terhadap pendapatan operasional sebesar 61,55% menunjukkan efisiensi operasional yang relatif baik, dengan masih tersisanya margin 38,45% untuk SHU dan cadangan. Rasio pinjaman diberikan terhadap dana diterima sebesar 64,31% mengindikasikan likuiditas yang cukup sehat, dengan masih tersedianya dana untuk penyaluran pembiayaan lebih lanjut.</w:t>
      </w:r>
    </w:p>
    <w:p w14:paraId="31424905" w14:textId="79DEF04A" w:rsidR="00775038" w:rsidRPr="000E4773" w:rsidRDefault="00775038" w:rsidP="000E4773">
      <w:pPr>
        <w:spacing w:after="200" w:line="360" w:lineRule="auto"/>
        <w:jc w:val="both"/>
        <w:rPr>
          <w:b/>
          <w:bCs/>
          <w:sz w:val="24"/>
          <w:szCs w:val="24"/>
        </w:rPr>
      </w:pPr>
      <w:r w:rsidRPr="000E4773">
        <w:rPr>
          <w:b/>
          <w:bCs/>
          <w:sz w:val="24"/>
          <w:szCs w:val="24"/>
        </w:rPr>
        <w:t>4. Intensitas Tata Kelola</w:t>
      </w:r>
    </w:p>
    <w:p w14:paraId="56F8166A" w14:textId="3AEF008E" w:rsidR="00775038" w:rsidRPr="000E4773" w:rsidRDefault="00775038" w:rsidP="000E4773">
      <w:pPr>
        <w:spacing w:after="200" w:line="360" w:lineRule="auto"/>
        <w:jc w:val="both"/>
        <w:rPr>
          <w:sz w:val="24"/>
          <w:szCs w:val="24"/>
        </w:rPr>
      </w:pPr>
      <w:r w:rsidRPr="000E4773">
        <w:rPr>
          <w:sz w:val="24"/>
          <w:szCs w:val="24"/>
        </w:rPr>
        <w:t>Dari sisi intensitas tata kelola, koperasi menyelenggarakan rapat anggota dua kali, rapat pengurus 18 kali, rapat pengawas 13 kali, rapat gabungan pengawas dan pengurus tujuh kali, serta rapat bulanan pengurus dan kepala cabang 12 kali sepanjang tahun. Intensitas pertemuan yang tinggi ini menunjukkan komitmen pada tata kelola yang partisipatif dan akuntabel.</w:t>
      </w:r>
    </w:p>
    <w:p w14:paraId="0680B2EF" w14:textId="27BF311E" w:rsidR="00775038" w:rsidRPr="000E4773" w:rsidRDefault="00775038" w:rsidP="000E4773">
      <w:pPr>
        <w:spacing w:after="200" w:line="360" w:lineRule="auto"/>
        <w:jc w:val="both"/>
        <w:rPr>
          <w:sz w:val="24"/>
          <w:szCs w:val="24"/>
        </w:rPr>
      </w:pPr>
      <w:r w:rsidRPr="000E4773">
        <w:rPr>
          <w:sz w:val="24"/>
          <w:szCs w:val="24"/>
        </w:rPr>
        <w:t xml:space="preserve">Dokumen Laporan Pengurus juga mencantumkan angka "rapat komite" sebanyak 2.712 kali dalam setahun. Angka ini tidak disertai penjelasan metodologis mengenai unit penghitungannya—apakah dihitung per cabang secara agregat atau sebagai rapat tunggal di tingkat pusat—sehingga penelitian </w:t>
      </w:r>
      <w:r w:rsidRPr="000E4773">
        <w:rPr>
          <w:sz w:val="24"/>
          <w:szCs w:val="24"/>
        </w:rPr>
        <w:lastRenderedPageBreak/>
        <w:t>ini tidak menjadikannya sebagai indikator kuantitatif utama kapasitas tata kelola tanpa klarifikasi lebih lanjut dari pengurus koperasi.</w:t>
      </w:r>
    </w:p>
    <w:p w14:paraId="125D26CF" w14:textId="42FA1ABB" w:rsidR="00775038" w:rsidRPr="000E4773" w:rsidRDefault="00775038" w:rsidP="000E4773">
      <w:pPr>
        <w:spacing w:after="200" w:line="360" w:lineRule="auto"/>
        <w:jc w:val="both"/>
        <w:rPr>
          <w:b/>
          <w:bCs/>
          <w:sz w:val="24"/>
          <w:szCs w:val="24"/>
        </w:rPr>
      </w:pPr>
      <w:r w:rsidRPr="000E4773">
        <w:rPr>
          <w:b/>
          <w:bCs/>
          <w:sz w:val="24"/>
          <w:szCs w:val="24"/>
        </w:rPr>
        <w:t>D. Analisis Keseimbangan Strategic Triangle</w:t>
      </w:r>
    </w:p>
    <w:p w14:paraId="1AA69E94" w14:textId="57C41D15" w:rsidR="00775038" w:rsidRPr="000E4773" w:rsidRDefault="00775038" w:rsidP="000E4773">
      <w:pPr>
        <w:spacing w:after="200" w:line="360" w:lineRule="auto"/>
        <w:jc w:val="both"/>
        <w:rPr>
          <w:sz w:val="24"/>
          <w:szCs w:val="24"/>
        </w:rPr>
      </w:pPr>
      <w:r w:rsidRPr="000E4773">
        <w:rPr>
          <w:sz w:val="24"/>
          <w:szCs w:val="24"/>
        </w:rPr>
        <w:t>Sintesis atas ketiga elemen menunjukkan pola yang tidak sepenuhnya seimbang. Tabel 3 menyajikan ringkasan analisis keseimbangan.</w:t>
      </w:r>
    </w:p>
    <w:p w14:paraId="051E6345" w14:textId="04C85399" w:rsidR="00775038" w:rsidRPr="000E4773" w:rsidRDefault="00775038" w:rsidP="000E4773">
      <w:pPr>
        <w:spacing w:after="200" w:line="360" w:lineRule="auto"/>
        <w:jc w:val="both"/>
        <w:rPr>
          <w:sz w:val="24"/>
          <w:szCs w:val="24"/>
        </w:rPr>
      </w:pPr>
      <w:r w:rsidRPr="000E4773">
        <w:rPr>
          <w:b/>
          <w:bCs/>
          <w:sz w:val="24"/>
          <w:szCs w:val="24"/>
        </w:rPr>
        <w:t>Tabel 3. Analisis Keseimbangan Strategic Triangle BMT Mawaddah</w:t>
      </w:r>
    </w:p>
    <w:tbl>
      <w:tblPr>
        <w:tblStyle w:val="PlainTable2"/>
        <w:tblW w:w="9356" w:type="dxa"/>
        <w:tblLook w:val="04A0" w:firstRow="1" w:lastRow="0" w:firstColumn="1" w:lastColumn="0" w:noHBand="0" w:noVBand="1"/>
      </w:tblPr>
      <w:tblGrid>
        <w:gridCol w:w="1928"/>
        <w:gridCol w:w="3175"/>
        <w:gridCol w:w="4253"/>
      </w:tblGrid>
      <w:tr w:rsidR="00775038" w:rsidRPr="000E4773" w14:paraId="0273EE32" w14:textId="77777777" w:rsidTr="007750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D2F6D3" w14:textId="77777777" w:rsidR="00775038" w:rsidRPr="000E4773" w:rsidRDefault="00775038" w:rsidP="000E4773">
            <w:pPr>
              <w:spacing w:after="200"/>
              <w:rPr>
                <w:sz w:val="24"/>
                <w:szCs w:val="24"/>
              </w:rPr>
            </w:pPr>
            <w:r w:rsidRPr="000E4773">
              <w:rPr>
                <w:sz w:val="24"/>
                <w:szCs w:val="24"/>
              </w:rPr>
              <w:t>Elemen</w:t>
            </w:r>
          </w:p>
        </w:tc>
        <w:tc>
          <w:tcPr>
            <w:tcW w:w="3175" w:type="dxa"/>
            <w:hideMark/>
          </w:tcPr>
          <w:p w14:paraId="2D53F5AA" w14:textId="77777777" w:rsidR="00775038" w:rsidRPr="000E4773" w:rsidRDefault="00775038" w:rsidP="000E4773">
            <w:pPr>
              <w:spacing w:after="200"/>
              <w:cnfStyle w:val="100000000000" w:firstRow="1" w:lastRow="0" w:firstColumn="0" w:lastColumn="0" w:oddVBand="0" w:evenVBand="0" w:oddHBand="0" w:evenHBand="0" w:firstRowFirstColumn="0" w:firstRowLastColumn="0" w:lastRowFirstColumn="0" w:lastRowLastColumn="0"/>
              <w:rPr>
                <w:sz w:val="24"/>
                <w:szCs w:val="24"/>
              </w:rPr>
            </w:pPr>
            <w:r w:rsidRPr="000E4773">
              <w:rPr>
                <w:sz w:val="24"/>
                <w:szCs w:val="24"/>
              </w:rPr>
              <w:t>Kekuatan</w:t>
            </w:r>
          </w:p>
        </w:tc>
        <w:tc>
          <w:tcPr>
            <w:tcW w:w="4253" w:type="dxa"/>
            <w:hideMark/>
          </w:tcPr>
          <w:p w14:paraId="09043BB9" w14:textId="56E67D0E" w:rsidR="00775038" w:rsidRPr="000E4773" w:rsidRDefault="00775038" w:rsidP="000E4773">
            <w:pPr>
              <w:spacing w:after="200"/>
              <w:cnfStyle w:val="100000000000" w:firstRow="1" w:lastRow="0" w:firstColumn="0" w:lastColumn="0" w:oddVBand="0" w:evenVBand="0" w:oddHBand="0" w:evenHBand="0" w:firstRowFirstColumn="0" w:firstRowLastColumn="0" w:lastRowFirstColumn="0" w:lastRowLastColumn="0"/>
              <w:rPr>
                <w:sz w:val="24"/>
                <w:szCs w:val="24"/>
              </w:rPr>
            </w:pPr>
            <w:r w:rsidRPr="000E4773">
              <w:rPr>
                <w:sz w:val="24"/>
                <w:szCs w:val="24"/>
              </w:rPr>
              <w:t>Kelemahan/Indikasi Ketimpangan</w:t>
            </w:r>
          </w:p>
        </w:tc>
      </w:tr>
      <w:tr w:rsidR="00775038" w:rsidRPr="000E4773" w14:paraId="5C505602" w14:textId="77777777" w:rsidTr="007750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859A4E" w14:textId="277FE597" w:rsidR="00775038" w:rsidRPr="000E4773" w:rsidRDefault="00775038" w:rsidP="000E4773">
            <w:pPr>
              <w:spacing w:after="200"/>
              <w:rPr>
                <w:b w:val="0"/>
                <w:bCs w:val="0"/>
                <w:sz w:val="24"/>
                <w:szCs w:val="24"/>
              </w:rPr>
            </w:pPr>
            <w:r w:rsidRPr="000E4773">
              <w:rPr>
                <w:b w:val="0"/>
                <w:bCs w:val="0"/>
                <w:sz w:val="24"/>
                <w:szCs w:val="24"/>
              </w:rPr>
              <w:t>Legitimacy and Support</w:t>
            </w:r>
          </w:p>
        </w:tc>
        <w:tc>
          <w:tcPr>
            <w:tcW w:w="3175" w:type="dxa"/>
            <w:hideMark/>
          </w:tcPr>
          <w:p w14:paraId="047D6747" w14:textId="0FC47DBD" w:rsidR="00775038" w:rsidRPr="000E4773" w:rsidRDefault="00775038" w:rsidP="000E4773">
            <w:pPr>
              <w:spacing w:after="200"/>
              <w:cnfStyle w:val="000000100000" w:firstRow="0" w:lastRow="0" w:firstColumn="0" w:lastColumn="0" w:oddVBand="0" w:evenVBand="0" w:oddHBand="1" w:evenHBand="0" w:firstRowFirstColumn="0" w:firstRowLastColumn="0" w:lastRowFirstColumn="0" w:lastRowLastColumn="0"/>
              <w:rPr>
                <w:sz w:val="24"/>
                <w:szCs w:val="24"/>
              </w:rPr>
            </w:pPr>
            <w:r w:rsidRPr="000E4773">
              <w:rPr>
                <w:sz w:val="24"/>
                <w:szCs w:val="24"/>
              </w:rPr>
              <w:t>Legitimasi berlapis: hukum, keagamaan, kultural; retensi anggota 100%</w:t>
            </w:r>
          </w:p>
        </w:tc>
        <w:tc>
          <w:tcPr>
            <w:tcW w:w="4253" w:type="dxa"/>
            <w:hideMark/>
          </w:tcPr>
          <w:p w14:paraId="59EFB71A" w14:textId="0AB44CAA" w:rsidR="00775038" w:rsidRPr="000E4773" w:rsidRDefault="00775038" w:rsidP="000E4773">
            <w:pPr>
              <w:spacing w:after="200"/>
              <w:cnfStyle w:val="000000100000" w:firstRow="0" w:lastRow="0" w:firstColumn="0" w:lastColumn="0" w:oddVBand="0" w:evenVBand="0" w:oddHBand="1" w:evenHBand="0" w:firstRowFirstColumn="0" w:firstRowLastColumn="0" w:lastRowFirstColumn="0" w:lastRowLastColumn="0"/>
              <w:rPr>
                <w:sz w:val="24"/>
                <w:szCs w:val="24"/>
              </w:rPr>
            </w:pPr>
            <w:r w:rsidRPr="000E4773">
              <w:rPr>
                <w:sz w:val="24"/>
                <w:szCs w:val="24"/>
              </w:rPr>
              <w:t>Opini audit WDP (belum optimal); pertumbuhan anggota lambat (0,96%)</w:t>
            </w:r>
          </w:p>
        </w:tc>
      </w:tr>
      <w:tr w:rsidR="00775038" w:rsidRPr="000E4773" w14:paraId="1F5E89D4" w14:textId="77777777" w:rsidTr="00775038">
        <w:tc>
          <w:tcPr>
            <w:cnfStyle w:val="001000000000" w:firstRow="0" w:lastRow="0" w:firstColumn="1" w:lastColumn="0" w:oddVBand="0" w:evenVBand="0" w:oddHBand="0" w:evenHBand="0" w:firstRowFirstColumn="0" w:firstRowLastColumn="0" w:lastRowFirstColumn="0" w:lastRowLastColumn="0"/>
            <w:tcW w:w="0" w:type="auto"/>
            <w:hideMark/>
          </w:tcPr>
          <w:p w14:paraId="11006458" w14:textId="5950DFD9" w:rsidR="00775038" w:rsidRPr="000E4773" w:rsidRDefault="00775038" w:rsidP="000E4773">
            <w:pPr>
              <w:spacing w:after="200"/>
              <w:rPr>
                <w:b w:val="0"/>
                <w:bCs w:val="0"/>
                <w:sz w:val="24"/>
                <w:szCs w:val="24"/>
              </w:rPr>
            </w:pPr>
            <w:r w:rsidRPr="000E4773">
              <w:rPr>
                <w:b w:val="0"/>
                <w:bCs w:val="0"/>
                <w:sz w:val="24"/>
                <w:szCs w:val="24"/>
              </w:rPr>
              <w:t>Public Value</w:t>
            </w:r>
          </w:p>
        </w:tc>
        <w:tc>
          <w:tcPr>
            <w:tcW w:w="3175" w:type="dxa"/>
            <w:hideMark/>
          </w:tcPr>
          <w:p w14:paraId="571640BC" w14:textId="139420C8" w:rsidR="00775038" w:rsidRPr="000E4773" w:rsidRDefault="00775038" w:rsidP="000E4773">
            <w:pPr>
              <w:spacing w:after="200"/>
              <w:cnfStyle w:val="000000000000" w:firstRow="0" w:lastRow="0" w:firstColumn="0" w:lastColumn="0" w:oddVBand="0" w:evenVBand="0" w:oddHBand="0" w:evenHBand="0" w:firstRowFirstColumn="0" w:firstRowLastColumn="0" w:lastRowFirstColumn="0" w:lastRowLastColumn="0"/>
              <w:rPr>
                <w:sz w:val="24"/>
                <w:szCs w:val="24"/>
              </w:rPr>
            </w:pPr>
            <w:r w:rsidRPr="000E4773">
              <w:rPr>
                <w:sz w:val="24"/>
                <w:szCs w:val="24"/>
              </w:rPr>
              <w:t>Nilai ekonomi: aset tumbuh 14,24%; nilai sosial: penyaluran ZIS 74,35%</w:t>
            </w:r>
          </w:p>
        </w:tc>
        <w:tc>
          <w:tcPr>
            <w:tcW w:w="4253" w:type="dxa"/>
            <w:hideMark/>
          </w:tcPr>
          <w:p w14:paraId="0BBE520E" w14:textId="2A4AAE75" w:rsidR="00775038" w:rsidRPr="000E4773" w:rsidRDefault="00775038" w:rsidP="000E4773">
            <w:pPr>
              <w:spacing w:after="200"/>
              <w:cnfStyle w:val="000000000000" w:firstRow="0" w:lastRow="0" w:firstColumn="0" w:lastColumn="0" w:oddVBand="0" w:evenVBand="0" w:oddHBand="0" w:evenHBand="0" w:firstRowFirstColumn="0" w:firstRowLastColumn="0" w:lastRowFirstColumn="0" w:lastRowLastColumn="0"/>
              <w:rPr>
                <w:sz w:val="24"/>
                <w:szCs w:val="24"/>
              </w:rPr>
            </w:pPr>
            <w:r w:rsidRPr="000E4773">
              <w:rPr>
                <w:sz w:val="24"/>
                <w:szCs w:val="24"/>
              </w:rPr>
              <w:t>SHU menurun 8,18%; pertumbuhan anggota melambat</w:t>
            </w:r>
          </w:p>
        </w:tc>
      </w:tr>
      <w:tr w:rsidR="00775038" w:rsidRPr="000E4773" w14:paraId="7E522587" w14:textId="77777777" w:rsidTr="007750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DA39F9" w14:textId="20F63793" w:rsidR="00775038" w:rsidRPr="000E4773" w:rsidRDefault="00775038" w:rsidP="000E4773">
            <w:pPr>
              <w:spacing w:after="200"/>
              <w:rPr>
                <w:b w:val="0"/>
                <w:bCs w:val="0"/>
                <w:sz w:val="24"/>
                <w:szCs w:val="24"/>
              </w:rPr>
            </w:pPr>
            <w:r w:rsidRPr="000E4773">
              <w:rPr>
                <w:b w:val="0"/>
                <w:bCs w:val="0"/>
                <w:sz w:val="24"/>
                <w:szCs w:val="24"/>
              </w:rPr>
              <w:t>Operational Capacity</w:t>
            </w:r>
          </w:p>
        </w:tc>
        <w:tc>
          <w:tcPr>
            <w:tcW w:w="3175" w:type="dxa"/>
            <w:hideMark/>
          </w:tcPr>
          <w:p w14:paraId="36EEC286" w14:textId="07DC9991" w:rsidR="00775038" w:rsidRPr="000E4773" w:rsidRDefault="00775038" w:rsidP="000E4773">
            <w:pPr>
              <w:spacing w:after="200"/>
              <w:cnfStyle w:val="000000100000" w:firstRow="0" w:lastRow="0" w:firstColumn="0" w:lastColumn="0" w:oddVBand="0" w:evenVBand="0" w:oddHBand="1" w:evenHBand="0" w:firstRowFirstColumn="0" w:firstRowLastColumn="0" w:lastRowFirstColumn="0" w:lastRowLastColumn="0"/>
              <w:rPr>
                <w:sz w:val="24"/>
                <w:szCs w:val="24"/>
              </w:rPr>
            </w:pPr>
            <w:r w:rsidRPr="000E4773">
              <w:rPr>
                <w:sz w:val="24"/>
                <w:szCs w:val="24"/>
              </w:rPr>
              <w:t>Struktur manajerial berjenjang; 18 cabang; rasio keuangan sehat</w:t>
            </w:r>
          </w:p>
        </w:tc>
        <w:tc>
          <w:tcPr>
            <w:tcW w:w="4253" w:type="dxa"/>
            <w:hideMark/>
          </w:tcPr>
          <w:p w14:paraId="00A969F2" w14:textId="49215F37" w:rsidR="00775038" w:rsidRPr="000E4773" w:rsidRDefault="00775038" w:rsidP="000E4773">
            <w:pPr>
              <w:spacing w:after="200"/>
              <w:cnfStyle w:val="000000100000" w:firstRow="0" w:lastRow="0" w:firstColumn="0" w:lastColumn="0" w:oddVBand="0" w:evenVBand="0" w:oddHBand="1" w:evenHBand="0" w:firstRowFirstColumn="0" w:firstRowLastColumn="0" w:lastRowFirstColumn="0" w:lastRowLastColumn="0"/>
              <w:rPr>
                <w:sz w:val="24"/>
                <w:szCs w:val="24"/>
              </w:rPr>
            </w:pPr>
            <w:r w:rsidRPr="000E4773">
              <w:rPr>
                <w:sz w:val="24"/>
                <w:szCs w:val="24"/>
              </w:rPr>
              <w:t>Potensi kelemahan koordinasi antar cabang; klaim rapat komite tidak terverifikasi</w:t>
            </w:r>
          </w:p>
        </w:tc>
      </w:tr>
    </w:tbl>
    <w:p w14:paraId="1FD6F4A7" w14:textId="77777777" w:rsidR="000E4773" w:rsidRDefault="000E4773" w:rsidP="000E4773">
      <w:pPr>
        <w:spacing w:after="200" w:line="360" w:lineRule="auto"/>
        <w:jc w:val="both"/>
        <w:rPr>
          <w:b/>
          <w:bCs/>
          <w:sz w:val="24"/>
          <w:szCs w:val="24"/>
        </w:rPr>
      </w:pPr>
    </w:p>
    <w:p w14:paraId="3076AA3A" w14:textId="36C76969" w:rsidR="00775038" w:rsidRPr="000E4773" w:rsidRDefault="00775038" w:rsidP="000E4773">
      <w:pPr>
        <w:spacing w:after="200" w:line="360" w:lineRule="auto"/>
        <w:jc w:val="both"/>
        <w:rPr>
          <w:b/>
          <w:bCs/>
          <w:sz w:val="24"/>
          <w:szCs w:val="24"/>
        </w:rPr>
      </w:pPr>
      <w:r w:rsidRPr="000E4773">
        <w:rPr>
          <w:b/>
          <w:bCs/>
          <w:sz w:val="24"/>
          <w:szCs w:val="24"/>
        </w:rPr>
        <w:t>Kekuatan Relatif</w:t>
      </w:r>
    </w:p>
    <w:p w14:paraId="536D2D97" w14:textId="52995F2F" w:rsidR="00775038" w:rsidRPr="000E4773" w:rsidRDefault="00775038" w:rsidP="000E4773">
      <w:pPr>
        <w:spacing w:after="200" w:line="360" w:lineRule="auto"/>
        <w:jc w:val="both"/>
        <w:rPr>
          <w:sz w:val="24"/>
          <w:szCs w:val="24"/>
        </w:rPr>
      </w:pPr>
      <w:r w:rsidRPr="000E4773">
        <w:rPr>
          <w:sz w:val="24"/>
          <w:szCs w:val="24"/>
        </w:rPr>
        <w:t xml:space="preserve">Elemen </w:t>
      </w:r>
      <w:r w:rsidRPr="000E4773">
        <w:rPr>
          <w:i/>
          <w:iCs/>
          <w:sz w:val="24"/>
          <w:szCs w:val="24"/>
        </w:rPr>
        <w:t>legitimacy and support</w:t>
      </w:r>
      <w:r w:rsidRPr="000E4773">
        <w:rPr>
          <w:sz w:val="24"/>
          <w:szCs w:val="24"/>
        </w:rPr>
        <w:t xml:space="preserve"> tergolong kuat dan berlapis, didukung oleh legitimasi hukum, keagamaan, dan kultural yang saling memperkuat. Tingkat retensi anggota 100% menunjukkan kepercayaan yang tinggi dari konstituen eksisting. Elemen </w:t>
      </w:r>
      <w:r w:rsidRPr="000E4773">
        <w:rPr>
          <w:i/>
          <w:iCs/>
          <w:sz w:val="24"/>
          <w:szCs w:val="24"/>
        </w:rPr>
        <w:t>operational capacity</w:t>
      </w:r>
      <w:r w:rsidRPr="000E4773">
        <w:rPr>
          <w:sz w:val="24"/>
          <w:szCs w:val="24"/>
        </w:rPr>
        <w:t xml:space="preserve"> juga tergolong memadai, tercermin dari struktur manajerial berjenjang, jaringan 18 kantor cabang, dan rasio kesehatan keuangan yang secara umum berada dalam kategori wajar.</w:t>
      </w:r>
    </w:p>
    <w:p w14:paraId="1E7ACE61" w14:textId="335C4E06" w:rsidR="00775038" w:rsidRPr="000E4773" w:rsidRDefault="00775038" w:rsidP="000E4773">
      <w:pPr>
        <w:spacing w:after="200" w:line="360" w:lineRule="auto"/>
        <w:jc w:val="both"/>
        <w:rPr>
          <w:b/>
          <w:bCs/>
          <w:sz w:val="24"/>
          <w:szCs w:val="24"/>
        </w:rPr>
      </w:pPr>
      <w:r w:rsidRPr="000E4773">
        <w:rPr>
          <w:b/>
          <w:bCs/>
          <w:sz w:val="24"/>
          <w:szCs w:val="24"/>
        </w:rPr>
        <w:t>Indikasi Ketimpangan</w:t>
      </w:r>
    </w:p>
    <w:p w14:paraId="684C0E84" w14:textId="0B49E883" w:rsidR="00775038" w:rsidRPr="000E4773" w:rsidRDefault="00775038" w:rsidP="000E4773">
      <w:pPr>
        <w:spacing w:after="200" w:line="360" w:lineRule="auto"/>
        <w:jc w:val="both"/>
        <w:rPr>
          <w:sz w:val="24"/>
          <w:szCs w:val="24"/>
        </w:rPr>
      </w:pPr>
      <w:r w:rsidRPr="000E4773">
        <w:rPr>
          <w:sz w:val="24"/>
          <w:szCs w:val="24"/>
        </w:rPr>
        <w:t xml:space="preserve">Namun demikian, elemen </w:t>
      </w:r>
      <w:r w:rsidRPr="000E4773">
        <w:rPr>
          <w:i/>
          <w:iCs/>
          <w:sz w:val="24"/>
          <w:szCs w:val="24"/>
        </w:rPr>
        <w:t>public value</w:t>
      </w:r>
      <w:r w:rsidRPr="000E4773">
        <w:rPr>
          <w:sz w:val="24"/>
          <w:szCs w:val="24"/>
        </w:rPr>
        <w:t xml:space="preserve"> menunjukkan indikasi ketimpangan pada dua dimensi:</w:t>
      </w:r>
    </w:p>
    <w:p w14:paraId="48D5CF65" w14:textId="648E62FA" w:rsidR="00775038" w:rsidRPr="000E4773" w:rsidRDefault="00775038" w:rsidP="000E4773">
      <w:pPr>
        <w:pStyle w:val="ListParagraph"/>
        <w:numPr>
          <w:ilvl w:val="0"/>
          <w:numId w:val="5"/>
        </w:numPr>
        <w:spacing w:after="200" w:line="360" w:lineRule="auto"/>
        <w:ind w:left="284" w:hanging="284"/>
        <w:jc w:val="both"/>
        <w:rPr>
          <w:sz w:val="24"/>
          <w:szCs w:val="24"/>
        </w:rPr>
      </w:pPr>
      <w:r w:rsidRPr="000E4773">
        <w:rPr>
          <w:sz w:val="24"/>
          <w:szCs w:val="24"/>
        </w:rPr>
        <w:t>Dimensi pertumbuhan dan perluasan jangkauan (</w:t>
      </w:r>
      <w:r w:rsidRPr="000E4773">
        <w:rPr>
          <w:i/>
          <w:iCs/>
          <w:sz w:val="24"/>
          <w:szCs w:val="24"/>
        </w:rPr>
        <w:t>outreach growth</w:t>
      </w:r>
      <w:r w:rsidRPr="000E4773">
        <w:rPr>
          <w:sz w:val="24"/>
          <w:szCs w:val="24"/>
        </w:rPr>
        <w:t>): Laju pertumbuhan anggota hanya 0,96% pada tahun 2025, yang tergolong rendah untuk lembaga keuangan mikro.</w:t>
      </w:r>
    </w:p>
    <w:p w14:paraId="4D822FAE" w14:textId="2B38F92B" w:rsidR="00775038" w:rsidRPr="000E4773" w:rsidRDefault="00775038" w:rsidP="000E4773">
      <w:pPr>
        <w:pStyle w:val="ListParagraph"/>
        <w:numPr>
          <w:ilvl w:val="0"/>
          <w:numId w:val="5"/>
        </w:numPr>
        <w:spacing w:after="200" w:line="360" w:lineRule="auto"/>
        <w:ind w:left="284" w:hanging="284"/>
        <w:jc w:val="both"/>
        <w:rPr>
          <w:sz w:val="24"/>
          <w:szCs w:val="24"/>
        </w:rPr>
      </w:pPr>
      <w:r w:rsidRPr="000E4773">
        <w:rPr>
          <w:sz w:val="24"/>
          <w:szCs w:val="24"/>
        </w:rPr>
        <w:lastRenderedPageBreak/>
        <w:t>Dimensi profitabilitas: Penurunan nominal SHU sebesar 8,18% dibandingkan tahun sebelumnya memerlukan perhatian, meskipun total aset meningkat.</w:t>
      </w:r>
    </w:p>
    <w:p w14:paraId="166C05D3" w14:textId="1D21D532" w:rsidR="00775038" w:rsidRPr="000E4773" w:rsidRDefault="00775038" w:rsidP="000E4773">
      <w:pPr>
        <w:spacing w:after="200" w:line="360" w:lineRule="auto"/>
        <w:jc w:val="both"/>
        <w:rPr>
          <w:sz w:val="24"/>
          <w:szCs w:val="24"/>
        </w:rPr>
      </w:pPr>
      <w:r w:rsidRPr="000E4773">
        <w:rPr>
          <w:sz w:val="24"/>
          <w:szCs w:val="24"/>
        </w:rPr>
        <w:t>Selain itu, opini audit "Wajar Dengan Pengecualian" menunjukkan bahwa legitimasi akuntabilitas publik organisasi masih memiliki ruang perbaikan, khususnya terkait penerapan standar akuntansi kewajiban perpajakan.</w:t>
      </w:r>
    </w:p>
    <w:p w14:paraId="49281A70" w14:textId="3A37B0DD" w:rsidR="00775038" w:rsidRPr="000E4773" w:rsidRDefault="00775038" w:rsidP="000E4773">
      <w:pPr>
        <w:spacing w:after="200" w:line="360" w:lineRule="auto"/>
        <w:jc w:val="both"/>
        <w:rPr>
          <w:b/>
          <w:bCs/>
          <w:sz w:val="24"/>
          <w:szCs w:val="24"/>
        </w:rPr>
      </w:pPr>
      <w:r w:rsidRPr="000E4773">
        <w:rPr>
          <w:b/>
          <w:bCs/>
          <w:sz w:val="24"/>
          <w:szCs w:val="24"/>
        </w:rPr>
        <w:t>Implikasi Teoretis</w:t>
      </w:r>
    </w:p>
    <w:p w14:paraId="228B09AA" w14:textId="63DF4EB9" w:rsidR="00775038" w:rsidRPr="000E4773" w:rsidRDefault="00775038" w:rsidP="000E4773">
      <w:pPr>
        <w:spacing w:after="200" w:line="360" w:lineRule="auto"/>
        <w:jc w:val="both"/>
        <w:rPr>
          <w:sz w:val="24"/>
          <w:szCs w:val="24"/>
        </w:rPr>
      </w:pPr>
      <w:r w:rsidRPr="000E4773">
        <w:rPr>
          <w:sz w:val="24"/>
          <w:szCs w:val="24"/>
        </w:rPr>
        <w:t>Ketimpangan ini konsisten dengan proposisi Moore bahwa legitimasi dan kapasitas operasional yang kuat tidak secara otomatis menjamin penciptaan nilai publik yang optimal apabila tidak disertai strategi eksplisit untuk memperluas jangkauan manfaat kepada konstituen baru. Dalam konteks BMT, hal ini menunjukkan bahwa fokus pada pemeliharaan anggota eksisting yang loyal perlu diimbangi dengan strategi akuisisi anggota baru yang lebih agresif untuk menjaga relevansi dan keberlanjutan organisasi dalam jangka panjang.</w:t>
      </w:r>
    </w:p>
    <w:p w14:paraId="4AFE8377" w14:textId="1B9156C0" w:rsidR="00775038" w:rsidRPr="000E4773" w:rsidRDefault="00775038" w:rsidP="000E4773">
      <w:pPr>
        <w:spacing w:after="200" w:line="360" w:lineRule="auto"/>
        <w:jc w:val="both"/>
        <w:rPr>
          <w:b/>
          <w:bCs/>
          <w:sz w:val="24"/>
          <w:szCs w:val="24"/>
        </w:rPr>
      </w:pPr>
      <w:r w:rsidRPr="000E4773">
        <w:rPr>
          <w:b/>
          <w:bCs/>
          <w:sz w:val="24"/>
          <w:szCs w:val="24"/>
        </w:rPr>
        <w:t>Implikasi Praktis</w:t>
      </w:r>
    </w:p>
    <w:p w14:paraId="2999E8C3" w14:textId="77777777" w:rsidR="000E4773" w:rsidRPr="000E4773" w:rsidRDefault="000E4773" w:rsidP="000E4773">
      <w:pPr>
        <w:spacing w:after="200" w:line="360" w:lineRule="auto"/>
        <w:jc w:val="both"/>
        <w:rPr>
          <w:sz w:val="24"/>
          <w:szCs w:val="24"/>
        </w:rPr>
      </w:pPr>
      <w:r w:rsidRPr="000E4773">
        <w:rPr>
          <w:sz w:val="24"/>
          <w:szCs w:val="24"/>
        </w:rPr>
        <w:t>Implikasi praktis dari analisis ini menegaskan perlunya BMT Mawaddah merumuskan strategi eksplisit untuk memperluas keanggotaan secara lebih agresif, mengingat laju pertumbuhan saat ini relatif rendah dibandingkan dengan basis anggota yang sudah sangat besar. Selain itu, koperasi perlu mengevaluasi penyebab penurunan SHU dan mengidentifikasi peluang peningkatan efisiensi maupun perluasan margin. Langkah penting lainnya adalah mempercepat penerapan Standar Akuntansi Keuangan Entitas Tanpa Akuntabilitas Publik Bab 24 guna memperbaiki opini audit pada tahun buku berikutnya. Meski demikian, interpretasi ini bersifat indikatif karena hanya didasarkan pada data satu tahun buku, sehingga idealnya perlu dikonfirmasi melalui data pertumbuhan multi-tahun sebelum dijadikan simpulan definitif mengenai arah tren jangka panjang organisasi.</w:t>
      </w:r>
    </w:p>
    <w:p w14:paraId="240B9361" w14:textId="47A2AE41" w:rsidR="00516926" w:rsidRPr="000E4773" w:rsidRDefault="000E4773" w:rsidP="000E4773">
      <w:pPr>
        <w:spacing w:after="200" w:line="360" w:lineRule="auto"/>
        <w:jc w:val="both"/>
      </w:pPr>
      <w:r w:rsidRPr="000E4773">
        <w:rPr>
          <w:b/>
          <w:bCs/>
          <w:sz w:val="26"/>
          <w:szCs w:val="26"/>
        </w:rPr>
        <w:t>Simpulan Dan Saran</w:t>
      </w:r>
    </w:p>
    <w:p w14:paraId="76FEBAB0" w14:textId="031C902B" w:rsidR="00775038" w:rsidRPr="000E4773" w:rsidRDefault="00775038" w:rsidP="000E4773">
      <w:pPr>
        <w:spacing w:after="200" w:line="360" w:lineRule="auto"/>
        <w:jc w:val="both"/>
        <w:rPr>
          <w:sz w:val="24"/>
          <w:szCs w:val="24"/>
        </w:rPr>
      </w:pPr>
      <w:r w:rsidRPr="000E4773">
        <w:rPr>
          <w:sz w:val="24"/>
          <w:szCs w:val="24"/>
        </w:rPr>
        <w:t xml:space="preserve">Berdasarkan analisis terhadap Laporan RAT Tahun Buku 2025, dapat disimpulkan bahwa BMT Mawaddah memiliki </w:t>
      </w:r>
      <w:r w:rsidRPr="000E4773">
        <w:rPr>
          <w:i/>
          <w:iCs/>
          <w:sz w:val="24"/>
          <w:szCs w:val="24"/>
        </w:rPr>
        <w:t>legitimacy and support</w:t>
      </w:r>
      <w:r w:rsidRPr="000E4773">
        <w:rPr>
          <w:sz w:val="24"/>
          <w:szCs w:val="24"/>
        </w:rPr>
        <w:t xml:space="preserve"> yang kuat dan berlapis (hukum, keagamaan, dan kultural), dengan tingkat retensi anggota yang sempurna sebagai indikator kepercayaan konstituen, serta kapasitas operasional (</w:t>
      </w:r>
      <w:r w:rsidRPr="000E4773">
        <w:rPr>
          <w:i/>
          <w:iCs/>
          <w:sz w:val="24"/>
          <w:szCs w:val="24"/>
        </w:rPr>
        <w:t>operational capacity</w:t>
      </w:r>
      <w:r w:rsidRPr="000E4773">
        <w:rPr>
          <w:sz w:val="24"/>
          <w:szCs w:val="24"/>
        </w:rPr>
        <w:t xml:space="preserve">) yang secara umum memadai untuk mendukung </w:t>
      </w:r>
      <w:r w:rsidRPr="000E4773">
        <w:rPr>
          <w:sz w:val="24"/>
          <w:szCs w:val="24"/>
        </w:rPr>
        <w:lastRenderedPageBreak/>
        <w:t xml:space="preserve">skala operasi yang dimilikinya, tercermin dari struktur manajerial, jaringan cabang, dan rasio kesehatan keuangan yang relatif sehat. Namun demikian, elemen </w:t>
      </w:r>
      <w:r w:rsidRPr="000E4773">
        <w:rPr>
          <w:i/>
          <w:iCs/>
          <w:sz w:val="24"/>
          <w:szCs w:val="24"/>
        </w:rPr>
        <w:t>public value</w:t>
      </w:r>
      <w:r w:rsidRPr="000E4773">
        <w:rPr>
          <w:sz w:val="24"/>
          <w:szCs w:val="24"/>
        </w:rPr>
        <w:t xml:space="preserve"> menunjukkan tanda ketimpangan pada dimensi pertumbuhan keanggotaan (0,96%) dan capaian SHU (menurun 8,18%), yang mengindikasikan bahwa </w:t>
      </w:r>
      <w:r w:rsidRPr="000E4773">
        <w:rPr>
          <w:i/>
          <w:iCs/>
          <w:sz w:val="24"/>
          <w:szCs w:val="24"/>
        </w:rPr>
        <w:t>Strategic Triangle</w:t>
      </w:r>
      <w:r w:rsidRPr="000E4773">
        <w:rPr>
          <w:sz w:val="24"/>
          <w:szCs w:val="24"/>
        </w:rPr>
        <w:t xml:space="preserve"> organisasi belum berada dalam kondisi ideal secara menyeluruh. Opini audit "Wajar Dengan Pengecualian" juga menjadi catatan penting bahwa legitimasi akuntabilitas publik organisasi masih memiliki ruang perbaikan, khususnya terkait penerapan standar akuntansi kewajiban perpajakan.</w:t>
      </w:r>
    </w:p>
    <w:p w14:paraId="254CE961" w14:textId="30C33A42" w:rsidR="00775038" w:rsidRPr="000E4773" w:rsidRDefault="00775038" w:rsidP="000E4773">
      <w:pPr>
        <w:spacing w:after="200" w:line="360" w:lineRule="auto"/>
        <w:jc w:val="both"/>
        <w:rPr>
          <w:sz w:val="24"/>
          <w:szCs w:val="24"/>
        </w:rPr>
      </w:pPr>
      <w:r w:rsidRPr="000E4773">
        <w:rPr>
          <w:sz w:val="24"/>
          <w:szCs w:val="24"/>
        </w:rPr>
        <w:t xml:space="preserve">Penelitian ini menyarankan perluasan lebih lanjut aplikasi </w:t>
      </w:r>
      <w:r w:rsidRPr="000E4773">
        <w:rPr>
          <w:i/>
          <w:iCs/>
          <w:sz w:val="24"/>
          <w:szCs w:val="24"/>
        </w:rPr>
        <w:t>Strategic Triangle</w:t>
      </w:r>
      <w:r w:rsidRPr="000E4773">
        <w:rPr>
          <w:sz w:val="24"/>
          <w:szCs w:val="24"/>
        </w:rPr>
        <w:t xml:space="preserve"> pada konteks organisasi hibrida berbasis nilai keagamaan di Indonesia, dengan mempertimbangkan penambahan dimensi analitis khusus untuk legitimasi keagamaan yang tidak terdapat pada kerangka aslinya yang berkonteks sektor publik sekuler. Bagi pengurus BMT Mawaddah, disarankan untuk merumuskan strategi eksplisit perluasan keanggotaan yang lebih agresif, misalnya melalui perluasan jaringan cabang ke wilayah baru, pengembangan produk yang menarik segmen anggota baru, atau peningkatan promosi dan sosialisasi, mengingat laju pertumbuhan saat ini relatif rendah dibandingkan basis anggota eksisting yang sudah sangat besar. Selain itu, pengurus juga disarankan untuk mengevaluasi secara mendalam penyebab penurunan SHU dan mengidentifikasi peluang peningkatan efisiensi operasional atau diversifikasi produk pembiayaan yang lebih menguntungkan, serta mempercepat penerapan Standar Akuntansi Keuangan Entitas Tanpa Akuntabilitas Publik Bab 24 untuk memperbaiki opini audit pada tahun buku berikutnya, di samping memperkuat sistem pengawasan kepatuhan syariah di tingkat cabang untuk mengurangi kasus penyimpangan penerapan akad yang masih ditemukan. Untuk penelitian selanjutnya, disarankan menggunakan data longitudinal multi-tahun untuk menguji secara lebih kuat tren pertumbuhan keanggotaan dan keseimbangan </w:t>
      </w:r>
      <w:r w:rsidRPr="000E4773">
        <w:rPr>
          <w:i/>
          <w:iCs/>
          <w:sz w:val="24"/>
          <w:szCs w:val="24"/>
        </w:rPr>
        <w:t>Strategic Triangle</w:t>
      </w:r>
      <w:r w:rsidRPr="000E4773">
        <w:rPr>
          <w:sz w:val="24"/>
          <w:szCs w:val="24"/>
        </w:rPr>
        <w:t xml:space="preserve"> dari waktu ke waktu, melibatkan triangulasi data melalui wawancara mendalam dengan pengurus, karyawan, dan anggota guna memperkaya interpretasi atas data dokumen yang digunakan dalam penelitian ini, serta mengembangkan model </w:t>
      </w:r>
      <w:r w:rsidRPr="000E4773">
        <w:rPr>
          <w:i/>
          <w:iCs/>
          <w:sz w:val="24"/>
          <w:szCs w:val="24"/>
        </w:rPr>
        <w:t>Strategic Triangle</w:t>
      </w:r>
      <w:r w:rsidRPr="000E4773">
        <w:rPr>
          <w:sz w:val="24"/>
          <w:szCs w:val="24"/>
        </w:rPr>
        <w:t xml:space="preserve"> yang dimodifikasi untuk organisasi keuangan syariah berbasis pesantren dengan mempertimbangkan keunikan legitimasi keagamaan dan struktur kulturalnya, dan melakukan studi komparatif antar BMT berbasis pesantren untuk mengidentifikasi faktor-faktor yang mempengaruhi keseimbangan </w:t>
      </w:r>
      <w:r w:rsidRPr="000E4773">
        <w:rPr>
          <w:i/>
          <w:iCs/>
          <w:sz w:val="24"/>
          <w:szCs w:val="24"/>
        </w:rPr>
        <w:t>Strategic Triangle</w:t>
      </w:r>
      <w:r w:rsidRPr="000E4773">
        <w:rPr>
          <w:sz w:val="24"/>
          <w:szCs w:val="24"/>
        </w:rPr>
        <w:t xml:space="preserve"> dalam konteks yang berbeda.</w:t>
      </w:r>
    </w:p>
    <w:p w14:paraId="0D24589B" w14:textId="01E2DB2B" w:rsidR="00516926" w:rsidRPr="000E4773" w:rsidRDefault="00516926" w:rsidP="000E4773">
      <w:pPr>
        <w:spacing w:after="200" w:line="360" w:lineRule="auto"/>
        <w:jc w:val="both"/>
      </w:pPr>
    </w:p>
    <w:p w14:paraId="4667DC45" w14:textId="7F9524C3" w:rsidR="00516926" w:rsidRPr="000E4773" w:rsidRDefault="00000000" w:rsidP="000E4773">
      <w:pPr>
        <w:pStyle w:val="Heading1"/>
        <w:spacing w:before="300" w:after="200" w:line="360" w:lineRule="auto"/>
        <w:rPr>
          <w:b/>
          <w:bCs/>
          <w:color w:val="auto"/>
          <w:sz w:val="26"/>
          <w:szCs w:val="26"/>
        </w:rPr>
      </w:pPr>
      <w:r w:rsidRPr="000E4773">
        <w:rPr>
          <w:b/>
          <w:bCs/>
          <w:color w:val="auto"/>
          <w:sz w:val="26"/>
          <w:szCs w:val="26"/>
        </w:rPr>
        <w:t>DAFTAR PUSTAKA</w:t>
      </w:r>
    </w:p>
    <w:p w14:paraId="4C837EF5" w14:textId="0E9CA985" w:rsidR="00775038" w:rsidRPr="000E4773" w:rsidRDefault="00775038" w:rsidP="000E4773">
      <w:pPr>
        <w:spacing w:before="120" w:line="360" w:lineRule="auto"/>
        <w:ind w:left="709" w:hanging="709"/>
        <w:jc w:val="lowKashida"/>
        <w:rPr>
          <w:sz w:val="24"/>
          <w:szCs w:val="24"/>
        </w:rPr>
      </w:pPr>
      <w:r w:rsidRPr="000E4773">
        <w:rPr>
          <w:sz w:val="24"/>
          <w:szCs w:val="24"/>
        </w:rPr>
        <w:t xml:space="preserve">Alford, J., &amp; Greve, C. (2017). Strategy in the public and private sectors: Similarities, differences and changes. </w:t>
      </w:r>
      <w:r w:rsidRPr="000E4773">
        <w:rPr>
          <w:i/>
          <w:iCs/>
          <w:sz w:val="24"/>
          <w:szCs w:val="24"/>
        </w:rPr>
        <w:t>Administrative Sciences</w:t>
      </w:r>
      <w:r w:rsidRPr="000E4773">
        <w:rPr>
          <w:sz w:val="24"/>
          <w:szCs w:val="24"/>
        </w:rPr>
        <w:t xml:space="preserve">, 7(4), 35. </w:t>
      </w:r>
      <w:hyperlink r:id="rId7" w:tgtFrame="_blank" w:history="1">
        <w:r w:rsidRPr="000E4773">
          <w:rPr>
            <w:rStyle w:val="Hyperlink"/>
            <w:color w:val="auto"/>
            <w:sz w:val="24"/>
            <w:szCs w:val="24"/>
          </w:rPr>
          <w:t>https://doi.org/10.3390/admsci7040035</w:t>
        </w:r>
      </w:hyperlink>
    </w:p>
    <w:p w14:paraId="6BAA67C6" w14:textId="528FF525" w:rsidR="00775038" w:rsidRPr="000E4773" w:rsidRDefault="00775038" w:rsidP="000E4773">
      <w:pPr>
        <w:spacing w:before="120" w:line="360" w:lineRule="auto"/>
        <w:ind w:left="709" w:hanging="709"/>
        <w:jc w:val="lowKashida"/>
        <w:rPr>
          <w:sz w:val="24"/>
          <w:szCs w:val="24"/>
        </w:rPr>
      </w:pPr>
      <w:r w:rsidRPr="000E4773">
        <w:rPr>
          <w:sz w:val="24"/>
          <w:szCs w:val="24"/>
        </w:rPr>
        <w:t xml:space="preserve">Anwar, M. K., Ridlwan, A. A., &amp; Laili, W. N. R. (2023). The role of Baitul Maal wat Tamwil in empowering MSMEs in Indonesia: A study of Indonesian Islamic microfinance institutions. </w:t>
      </w:r>
      <w:r w:rsidRPr="000E4773">
        <w:rPr>
          <w:i/>
          <w:iCs/>
          <w:sz w:val="24"/>
          <w:szCs w:val="24"/>
        </w:rPr>
        <w:t>International Journal of Professional Business Review</w:t>
      </w:r>
      <w:r w:rsidRPr="000E4773">
        <w:rPr>
          <w:sz w:val="24"/>
          <w:szCs w:val="24"/>
        </w:rPr>
        <w:t xml:space="preserve">, 8(4), e0913. </w:t>
      </w:r>
      <w:hyperlink r:id="rId8" w:tgtFrame="_blank" w:history="1">
        <w:r w:rsidRPr="000E4773">
          <w:rPr>
            <w:rStyle w:val="Hyperlink"/>
            <w:color w:val="auto"/>
            <w:sz w:val="24"/>
            <w:szCs w:val="24"/>
          </w:rPr>
          <w:t>https://doi.org/10.26668/businessreview/2023.v8i4.913</w:t>
        </w:r>
      </w:hyperlink>
    </w:p>
    <w:p w14:paraId="035C10EB" w14:textId="12A99E73" w:rsidR="00775038" w:rsidRPr="000E4773" w:rsidRDefault="00775038" w:rsidP="000E4773">
      <w:pPr>
        <w:spacing w:before="120" w:line="360" w:lineRule="auto"/>
        <w:ind w:left="709" w:hanging="709"/>
        <w:jc w:val="lowKashida"/>
        <w:rPr>
          <w:sz w:val="24"/>
          <w:szCs w:val="24"/>
        </w:rPr>
      </w:pPr>
      <w:r w:rsidRPr="000E4773">
        <w:rPr>
          <w:sz w:val="24"/>
          <w:szCs w:val="24"/>
        </w:rPr>
        <w:t xml:space="preserve">Ascarya, Rahmawati, S., &amp; Tanjung, H. (2018). Design the roadmap of holistic financial inclusion for Baitul Maal wat Tamwil. </w:t>
      </w:r>
      <w:r w:rsidRPr="000E4773">
        <w:rPr>
          <w:i/>
          <w:iCs/>
          <w:sz w:val="24"/>
          <w:szCs w:val="24"/>
        </w:rPr>
        <w:t>Tazkia Islamic Finance and Business Review</w:t>
      </w:r>
      <w:r w:rsidRPr="000E4773">
        <w:rPr>
          <w:sz w:val="24"/>
          <w:szCs w:val="24"/>
        </w:rPr>
        <w:t xml:space="preserve">, 12(1), 1-24. </w:t>
      </w:r>
      <w:hyperlink r:id="rId9" w:tgtFrame="_blank" w:history="1">
        <w:r w:rsidRPr="000E4773">
          <w:rPr>
            <w:rStyle w:val="Hyperlink"/>
            <w:color w:val="auto"/>
            <w:sz w:val="24"/>
            <w:szCs w:val="24"/>
          </w:rPr>
          <w:t>https://doi.org/10.30993/TIFBR.V12I1.112</w:t>
        </w:r>
      </w:hyperlink>
    </w:p>
    <w:p w14:paraId="7E01AFC1" w14:textId="2C5CCC98" w:rsidR="00775038" w:rsidRPr="000E4773" w:rsidRDefault="00775038" w:rsidP="000E4773">
      <w:pPr>
        <w:spacing w:before="120" w:line="360" w:lineRule="auto"/>
        <w:ind w:left="709" w:hanging="709"/>
        <w:jc w:val="lowKashida"/>
        <w:rPr>
          <w:sz w:val="24"/>
          <w:szCs w:val="24"/>
        </w:rPr>
      </w:pPr>
      <w:r w:rsidRPr="000E4773">
        <w:rPr>
          <w:sz w:val="24"/>
          <w:szCs w:val="24"/>
        </w:rPr>
        <w:t xml:space="preserve">Battilana, J., &amp; Lee, M. (2014). Advancing research on hybrid organizing: Insights from the study of social enterprises. </w:t>
      </w:r>
      <w:r w:rsidRPr="000E4773">
        <w:rPr>
          <w:i/>
          <w:iCs/>
          <w:sz w:val="24"/>
          <w:szCs w:val="24"/>
        </w:rPr>
        <w:t>Academy of Management Annals</w:t>
      </w:r>
      <w:r w:rsidRPr="000E4773">
        <w:rPr>
          <w:sz w:val="24"/>
          <w:szCs w:val="24"/>
        </w:rPr>
        <w:t xml:space="preserve">, 8(1), 397-441. </w:t>
      </w:r>
      <w:hyperlink r:id="rId10" w:tgtFrame="_blank" w:history="1">
        <w:r w:rsidRPr="000E4773">
          <w:rPr>
            <w:rStyle w:val="Hyperlink"/>
            <w:color w:val="auto"/>
            <w:sz w:val="24"/>
            <w:szCs w:val="24"/>
          </w:rPr>
          <w:t>https://doi.org/10.1080/19416520.2014.893615</w:t>
        </w:r>
      </w:hyperlink>
    </w:p>
    <w:p w14:paraId="21C07BA5" w14:textId="489325D5" w:rsidR="00775038" w:rsidRPr="000E4773" w:rsidRDefault="00775038" w:rsidP="000E4773">
      <w:pPr>
        <w:spacing w:before="120" w:line="360" w:lineRule="auto"/>
        <w:ind w:left="709" w:hanging="709"/>
        <w:jc w:val="lowKashida"/>
        <w:rPr>
          <w:sz w:val="24"/>
          <w:szCs w:val="24"/>
        </w:rPr>
      </w:pPr>
      <w:r w:rsidRPr="000E4773">
        <w:rPr>
          <w:sz w:val="24"/>
          <w:szCs w:val="24"/>
        </w:rPr>
        <w:t xml:space="preserve">Bryson, J. M., Crosby, B. C., &amp; Bloomberg, L. (2014). Public value governance: Moving beyond traditional public administration and the new public management. </w:t>
      </w:r>
      <w:r w:rsidRPr="000E4773">
        <w:rPr>
          <w:i/>
          <w:iCs/>
          <w:sz w:val="24"/>
          <w:szCs w:val="24"/>
        </w:rPr>
        <w:t>Public Administration Review</w:t>
      </w:r>
      <w:r w:rsidRPr="000E4773">
        <w:rPr>
          <w:sz w:val="24"/>
          <w:szCs w:val="24"/>
        </w:rPr>
        <w:t xml:space="preserve">, 74(4), 445-456. </w:t>
      </w:r>
      <w:hyperlink r:id="rId11" w:tgtFrame="_blank" w:history="1">
        <w:r w:rsidRPr="000E4773">
          <w:rPr>
            <w:rStyle w:val="Hyperlink"/>
            <w:color w:val="auto"/>
            <w:sz w:val="24"/>
            <w:szCs w:val="24"/>
          </w:rPr>
          <w:t>https://doi.org/10.1111/puar.12238</w:t>
        </w:r>
      </w:hyperlink>
    </w:p>
    <w:p w14:paraId="70543E95" w14:textId="152A03D2" w:rsidR="00775038" w:rsidRPr="000E4773" w:rsidRDefault="00775038" w:rsidP="000E4773">
      <w:pPr>
        <w:spacing w:before="120" w:line="360" w:lineRule="auto"/>
        <w:ind w:left="709" w:hanging="709"/>
        <w:jc w:val="lowKashida"/>
        <w:rPr>
          <w:sz w:val="24"/>
          <w:szCs w:val="24"/>
        </w:rPr>
      </w:pPr>
      <w:r w:rsidRPr="000E4773">
        <w:rPr>
          <w:sz w:val="24"/>
          <w:szCs w:val="24"/>
        </w:rPr>
        <w:t xml:space="preserve">Koperasi Al Iqtishod Lil Muamalah Mawaddah Syariah Jawa Timur. (2026). </w:t>
      </w:r>
      <w:r w:rsidRPr="000E4773">
        <w:rPr>
          <w:i/>
          <w:iCs/>
          <w:sz w:val="24"/>
          <w:szCs w:val="24"/>
        </w:rPr>
        <w:t>Laporan Tahunan Pengurus, Pengawas, Pengawas Syariah, dan RK-RAPBK 2026: Rapat Anggota Tahunan ke-26 Tahun Buku 2025</w:t>
      </w:r>
      <w:r w:rsidRPr="000E4773">
        <w:rPr>
          <w:sz w:val="24"/>
          <w:szCs w:val="24"/>
        </w:rPr>
        <w:t>. Pamekasan: Koperasi Al Iqtishod Lil Muamalah Mawaddah Syariah Jawa Timur.</w:t>
      </w:r>
    </w:p>
    <w:p w14:paraId="6AF1CB91" w14:textId="28DF245B" w:rsidR="00775038" w:rsidRPr="000E4773" w:rsidRDefault="00775038" w:rsidP="000E4773">
      <w:pPr>
        <w:spacing w:before="120" w:line="360" w:lineRule="auto"/>
        <w:ind w:left="709" w:hanging="709"/>
        <w:jc w:val="lowKashida"/>
        <w:rPr>
          <w:sz w:val="24"/>
          <w:szCs w:val="24"/>
        </w:rPr>
      </w:pPr>
      <w:r w:rsidRPr="000E4773">
        <w:rPr>
          <w:sz w:val="24"/>
          <w:szCs w:val="24"/>
        </w:rPr>
        <w:t xml:space="preserve">Moore, M. H. (1995). </w:t>
      </w:r>
      <w:r w:rsidRPr="000E4773">
        <w:rPr>
          <w:i/>
          <w:iCs/>
          <w:sz w:val="24"/>
          <w:szCs w:val="24"/>
        </w:rPr>
        <w:t>Creating public value: Strategic management in government</w:t>
      </w:r>
      <w:r w:rsidRPr="000E4773">
        <w:rPr>
          <w:sz w:val="24"/>
          <w:szCs w:val="24"/>
        </w:rPr>
        <w:t>. Cambridge, MA: Harvard University Press.</w:t>
      </w:r>
    </w:p>
    <w:p w14:paraId="591B7A2D" w14:textId="1480B6AF" w:rsidR="00775038" w:rsidRPr="000E4773" w:rsidRDefault="00775038" w:rsidP="000E4773">
      <w:pPr>
        <w:spacing w:before="120" w:line="360" w:lineRule="auto"/>
        <w:ind w:left="709" w:hanging="709"/>
        <w:jc w:val="lowKashida"/>
        <w:rPr>
          <w:sz w:val="24"/>
          <w:szCs w:val="24"/>
        </w:rPr>
      </w:pPr>
      <w:r w:rsidRPr="000E4773">
        <w:rPr>
          <w:sz w:val="24"/>
          <w:szCs w:val="24"/>
        </w:rPr>
        <w:t>Peraturan Menteri Koperasi dan Usaha Kecil dan Menengah Republik Indonesia Nomor 11/PER/M.KUKM/XII/2017 tentang Pelaksanaan Kegiatan Usaha Simpan Pinjam dan Pembiayaan Syariah oleh Koperasi. [CATATAN EDITOR: status "tidak berlaku", digantikan Permenkop UKM No. 8 Tahun 2023 tentang Usaha Simpan Pinjam oleh Koperasi — perlu diverifikasi dan diperbarui.]</w:t>
      </w:r>
    </w:p>
    <w:p w14:paraId="0E2AFDF9" w14:textId="5A24C05B" w:rsidR="00775038" w:rsidRPr="000E4773" w:rsidRDefault="00775038" w:rsidP="000E4773">
      <w:pPr>
        <w:spacing w:before="120" w:line="360" w:lineRule="auto"/>
        <w:ind w:left="709" w:hanging="709"/>
        <w:jc w:val="lowKashida"/>
        <w:rPr>
          <w:sz w:val="24"/>
          <w:szCs w:val="24"/>
        </w:rPr>
      </w:pPr>
      <w:r w:rsidRPr="000E4773">
        <w:rPr>
          <w:sz w:val="24"/>
          <w:szCs w:val="24"/>
        </w:rPr>
        <w:lastRenderedPageBreak/>
        <w:t xml:space="preserve">Soelton, M., Ramli, Y., Permana, D., Martawireja, A. E., Nurhayati, M., Tama, E., Saratian, P., &amp; Arief, H. (2021). Increasing SMEs social impact with Baitul Maal wat Tamwil. </w:t>
      </w:r>
      <w:r w:rsidRPr="000E4773">
        <w:rPr>
          <w:i/>
          <w:iCs/>
          <w:sz w:val="24"/>
          <w:szCs w:val="24"/>
        </w:rPr>
        <w:t>ICCD</w:t>
      </w:r>
      <w:r w:rsidRPr="000E4773">
        <w:rPr>
          <w:sz w:val="24"/>
          <w:szCs w:val="24"/>
        </w:rPr>
        <w:t xml:space="preserve">, 3(1), 52-56. </w:t>
      </w:r>
      <w:hyperlink r:id="rId12" w:tgtFrame="_blank" w:history="1">
        <w:r w:rsidRPr="000E4773">
          <w:rPr>
            <w:rStyle w:val="Hyperlink"/>
            <w:color w:val="auto"/>
            <w:sz w:val="24"/>
            <w:szCs w:val="24"/>
          </w:rPr>
          <w:t>https://doi.org/10.33068/ICCD.VOL3.ISS1.299</w:t>
        </w:r>
      </w:hyperlink>
    </w:p>
    <w:p w14:paraId="225DE2F8" w14:textId="3ABFFCE0" w:rsidR="00775038" w:rsidRPr="000E4773" w:rsidRDefault="00775038" w:rsidP="000E4773">
      <w:pPr>
        <w:spacing w:before="120" w:line="360" w:lineRule="auto"/>
        <w:ind w:left="709" w:hanging="709"/>
        <w:jc w:val="lowKashida"/>
        <w:rPr>
          <w:sz w:val="24"/>
          <w:szCs w:val="24"/>
        </w:rPr>
      </w:pPr>
      <w:r w:rsidRPr="000E4773">
        <w:rPr>
          <w:sz w:val="24"/>
          <w:szCs w:val="24"/>
        </w:rPr>
        <w:t>Undang-Undang Republik Indonesia Nomor 25 Tahun 1992 tentang Perkoperasian.</w:t>
      </w:r>
    </w:p>
    <w:p w14:paraId="06D90FB3" w14:textId="76ACA5AD" w:rsidR="00775038" w:rsidRPr="000E4773" w:rsidRDefault="00775038" w:rsidP="000E4773">
      <w:pPr>
        <w:spacing w:before="120" w:line="360" w:lineRule="auto"/>
        <w:ind w:left="709" w:hanging="709"/>
        <w:jc w:val="lowKashida"/>
        <w:rPr>
          <w:sz w:val="24"/>
          <w:szCs w:val="24"/>
        </w:rPr>
      </w:pPr>
      <w:r w:rsidRPr="000E4773">
        <w:rPr>
          <w:sz w:val="24"/>
          <w:szCs w:val="24"/>
        </w:rPr>
        <w:t xml:space="preserve">Yin, R. K. (2018). </w:t>
      </w:r>
      <w:r w:rsidRPr="000E4773">
        <w:rPr>
          <w:i/>
          <w:iCs/>
          <w:sz w:val="24"/>
          <w:szCs w:val="24"/>
        </w:rPr>
        <w:t>Case study research and applications: Design and methods</w:t>
      </w:r>
      <w:r w:rsidRPr="000E4773">
        <w:rPr>
          <w:sz w:val="24"/>
          <w:szCs w:val="24"/>
        </w:rPr>
        <w:t xml:space="preserve"> (6th ed.). Thousand Oaks, CA: Sage Publications.</w:t>
      </w:r>
    </w:p>
    <w:p w14:paraId="2530FAD7" w14:textId="0DA2C7D0" w:rsidR="00516926" w:rsidRPr="000E4773" w:rsidRDefault="00516926" w:rsidP="000E4773">
      <w:pPr>
        <w:autoSpaceDE w:val="0"/>
        <w:autoSpaceDN w:val="0"/>
        <w:spacing w:before="120" w:line="360" w:lineRule="auto"/>
        <w:ind w:left="709" w:hanging="709"/>
        <w:jc w:val="lowKashida"/>
        <w:divId w:val="1065682594"/>
        <w:rPr>
          <w:sz w:val="24"/>
          <w:szCs w:val="24"/>
        </w:rPr>
      </w:pPr>
    </w:p>
    <w:sectPr w:rsidR="00516926" w:rsidRPr="000E4773">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4564D"/>
    <w:multiLevelType w:val="multilevel"/>
    <w:tmpl w:val="3BF8E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277DE2"/>
    <w:multiLevelType w:val="multilevel"/>
    <w:tmpl w:val="4A2E5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3C47A8"/>
    <w:multiLevelType w:val="hybridMultilevel"/>
    <w:tmpl w:val="6A48B7E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46AF68E3"/>
    <w:multiLevelType w:val="multilevel"/>
    <w:tmpl w:val="509CD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324E14"/>
    <w:multiLevelType w:val="hybridMultilevel"/>
    <w:tmpl w:val="3B721008"/>
    <w:lvl w:ilvl="0" w:tplc="703410FE">
      <w:start w:val="1"/>
      <w:numFmt w:val="bullet"/>
      <w:lvlText w:val="●"/>
      <w:lvlJc w:val="left"/>
      <w:pPr>
        <w:ind w:left="720" w:hanging="360"/>
      </w:pPr>
    </w:lvl>
    <w:lvl w:ilvl="1" w:tplc="66A4300A">
      <w:start w:val="1"/>
      <w:numFmt w:val="bullet"/>
      <w:lvlText w:val="○"/>
      <w:lvlJc w:val="left"/>
      <w:pPr>
        <w:ind w:left="1440" w:hanging="360"/>
      </w:pPr>
    </w:lvl>
    <w:lvl w:ilvl="2" w:tplc="38DC9D14">
      <w:start w:val="1"/>
      <w:numFmt w:val="bullet"/>
      <w:lvlText w:val="■"/>
      <w:lvlJc w:val="left"/>
      <w:pPr>
        <w:ind w:left="2160" w:hanging="360"/>
      </w:pPr>
    </w:lvl>
    <w:lvl w:ilvl="3" w:tplc="9356D9A6">
      <w:start w:val="1"/>
      <w:numFmt w:val="bullet"/>
      <w:lvlText w:val="●"/>
      <w:lvlJc w:val="left"/>
      <w:pPr>
        <w:ind w:left="2880" w:hanging="360"/>
      </w:pPr>
    </w:lvl>
    <w:lvl w:ilvl="4" w:tplc="6C3215B8">
      <w:start w:val="1"/>
      <w:numFmt w:val="bullet"/>
      <w:lvlText w:val="○"/>
      <w:lvlJc w:val="left"/>
      <w:pPr>
        <w:ind w:left="3600" w:hanging="360"/>
      </w:pPr>
    </w:lvl>
    <w:lvl w:ilvl="5" w:tplc="8F5E6D3C">
      <w:start w:val="1"/>
      <w:numFmt w:val="bullet"/>
      <w:lvlText w:val="■"/>
      <w:lvlJc w:val="left"/>
      <w:pPr>
        <w:ind w:left="4320" w:hanging="360"/>
      </w:pPr>
    </w:lvl>
    <w:lvl w:ilvl="6" w:tplc="14B0169A">
      <w:start w:val="1"/>
      <w:numFmt w:val="bullet"/>
      <w:lvlText w:val="●"/>
      <w:lvlJc w:val="left"/>
      <w:pPr>
        <w:ind w:left="5040" w:hanging="360"/>
      </w:pPr>
    </w:lvl>
    <w:lvl w:ilvl="7" w:tplc="7E16A690">
      <w:start w:val="1"/>
      <w:numFmt w:val="bullet"/>
      <w:lvlText w:val="●"/>
      <w:lvlJc w:val="left"/>
      <w:pPr>
        <w:ind w:left="5760" w:hanging="360"/>
      </w:pPr>
    </w:lvl>
    <w:lvl w:ilvl="8" w:tplc="70DE9534">
      <w:start w:val="1"/>
      <w:numFmt w:val="bullet"/>
      <w:lvlText w:val="●"/>
      <w:lvlJc w:val="left"/>
      <w:pPr>
        <w:ind w:left="6480" w:hanging="360"/>
      </w:pPr>
    </w:lvl>
  </w:abstractNum>
  <w:num w:numId="1" w16cid:durableId="1712652291">
    <w:abstractNumId w:val="4"/>
    <w:lvlOverride w:ilvl="0">
      <w:startOverride w:val="1"/>
    </w:lvlOverride>
  </w:num>
  <w:num w:numId="2" w16cid:durableId="1156602937">
    <w:abstractNumId w:val="0"/>
  </w:num>
  <w:num w:numId="3" w16cid:durableId="1422339139">
    <w:abstractNumId w:val="1"/>
  </w:num>
  <w:num w:numId="4" w16cid:durableId="81491580">
    <w:abstractNumId w:val="3"/>
  </w:num>
  <w:num w:numId="5" w16cid:durableId="19194401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926"/>
    <w:rsid w:val="000E4773"/>
    <w:rsid w:val="00151265"/>
    <w:rsid w:val="00211EF1"/>
    <w:rsid w:val="003E0094"/>
    <w:rsid w:val="00516926"/>
    <w:rsid w:val="00553591"/>
    <w:rsid w:val="005B3E57"/>
    <w:rsid w:val="00775038"/>
    <w:rsid w:val="00960F68"/>
    <w:rsid w:val="00B60AE4"/>
    <w:rsid w:val="00D477BF"/>
    <w:rsid w:val="00E22AB7"/>
    <w:rsid w:val="00E23CDD"/>
    <w:rsid w:val="00E80996"/>
    <w:rsid w:val="00F12C6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7B25A"/>
  <w15:docId w15:val="{4BEE73C9-7CC6-4C8E-933A-BFEB251C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51265"/>
    <w:rPr>
      <w:color w:val="605E5C"/>
      <w:shd w:val="clear" w:color="auto" w:fill="E1DFDD"/>
    </w:rPr>
  </w:style>
  <w:style w:type="character" w:styleId="PlaceholderText">
    <w:name w:val="Placeholder Text"/>
    <w:basedOn w:val="DefaultParagraphFont"/>
    <w:uiPriority w:val="99"/>
    <w:semiHidden/>
    <w:rsid w:val="005B3E57"/>
    <w:rPr>
      <w:color w:val="666666"/>
    </w:rPr>
  </w:style>
  <w:style w:type="table" w:styleId="PlainTable2">
    <w:name w:val="Plain Table 2"/>
    <w:basedOn w:val="TableNormal"/>
    <w:uiPriority w:val="42"/>
    <w:rsid w:val="0077503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35184">
      <w:marLeft w:val="480"/>
      <w:marRight w:val="0"/>
      <w:marTop w:val="0"/>
      <w:marBottom w:val="0"/>
      <w:divBdr>
        <w:top w:val="none" w:sz="0" w:space="0" w:color="auto"/>
        <w:left w:val="none" w:sz="0" w:space="0" w:color="auto"/>
        <w:bottom w:val="none" w:sz="0" w:space="0" w:color="auto"/>
        <w:right w:val="none" w:sz="0" w:space="0" w:color="auto"/>
      </w:divBdr>
    </w:div>
    <w:div w:id="1065682594">
      <w:marLeft w:val="480"/>
      <w:marRight w:val="0"/>
      <w:marTop w:val="0"/>
      <w:marBottom w:val="0"/>
      <w:divBdr>
        <w:top w:val="none" w:sz="0" w:space="0" w:color="auto"/>
        <w:left w:val="none" w:sz="0" w:space="0" w:color="auto"/>
        <w:bottom w:val="none" w:sz="0" w:space="0" w:color="auto"/>
        <w:right w:val="none" w:sz="0" w:space="0" w:color="auto"/>
      </w:divBdr>
    </w:div>
    <w:div w:id="1893619246">
      <w:marLeft w:val="48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26668/businessreview/2023.v8i4.91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i.org/10.3390/admsci7040035" TargetMode="External"/><Relationship Id="rId12" Type="http://schemas.openxmlformats.org/officeDocument/2006/relationships/hyperlink" Target="https://doi.org/10.33068/ICCD.VOL3.ISS1.29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rifkiunozero@gmail.com" TargetMode="External"/><Relationship Id="rId11" Type="http://schemas.openxmlformats.org/officeDocument/2006/relationships/hyperlink" Target="https://doi.org/10.1111/puar.12238" TargetMode="External"/><Relationship Id="rId5" Type="http://schemas.openxmlformats.org/officeDocument/2006/relationships/webSettings" Target="webSettings.xml"/><Relationship Id="rId10" Type="http://schemas.openxmlformats.org/officeDocument/2006/relationships/hyperlink" Target="https://doi.org/10.1080/19416520.2014.893615" TargetMode="External"/><Relationship Id="rId4" Type="http://schemas.openxmlformats.org/officeDocument/2006/relationships/settings" Target="settings.xml"/><Relationship Id="rId9" Type="http://schemas.openxmlformats.org/officeDocument/2006/relationships/hyperlink" Target="https://doi.org/10.30993/TIFBR.V12I1.11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8D97B0A-F785-461E-AB5E-116649E126FD}">
  <we:reference id="wa104382081" version="1.55.1.0" store="en-001" storeType="OMEX"/>
  <we:alternateReferences>
    <we:reference id="wa104382081" version="1.55.1.0" store="en-001" storeType="OMEX"/>
  </we:alternateReferences>
  <we:properties>
    <we:property name="MENDELEY_BIBLIOGRAPHY_IS_DIRTY" value="false"/>
    <we:property name="MENDELEY_BIBLIOGRAPHY_LAST_MODIFIED" value="1784964868589"/>
    <we:property name="MENDELEY_CITATIONS" value="[{&quot;citationID&quot;:&quot;MENDELEY_CITATION_94039092-b601-46d1-9944-726bdf1a3ae0&quot;,&quot;properties&quot;:{&quot;noteIndex&quot;:0},&quot;isEdited&quot;:false,&quot;manualOverride&quot;:{&quot;isManuallyOverridden&quot;:false,&quot;citeprocText&quot;:&quot;(Soelton et al., 2021)&quot;,&quot;manualOverrideText&quot;:&quot;&quot;},&quot;citationTag&quot;:&quot;MENDELEY_CITATION_v3_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&quot;,&quot;citationItems&quot;:[{&quot;id&quot;:&quot;51579e67-9d25-3b0a-ada1-c54d6ac58cc6&quot;,&quot;itemData&quot;:{&quot;type&quot;:&quot;article-journal&quot;,&quot;id&quot;:&quot;51579e67-9d25-3b0a-ada1-c54d6ac58cc6&quot;,&quot;title&quot;:&quot;INCREASING SMEs SOCIAL IMPACT WITH BAITUL MAAL WAT TAMWIL&quot;,&quot;author&quot;:[{&quot;family&quot;:&quot;Soelton&quot;,&quot;given&quot;:&quot;Mochamad&quot;,&quot;parse-names&quot;:false,&quot;dropping-particle&quot;:&quot;&quot;,&quot;non-dropping-particle&quot;:&quot;&quot;},{&quot;family&quot;:&quot;Ramli&quot;,&quot;given&quot;:&quot;Yanto&quot;,&quot;parse-names&quot;:false,&quot;dropping-particle&quot;:&quot;&quot;,&quot;non-dropping-particle&quot;:&quot;&quot;},{&quot;family&quot;:&quot;Permana&quot;,&quot;given&quot;:&quot;Dudi&quot;,&quot;parse-names&quot;:false,&quot;dropping-particle&quot;:&quot;&quot;,&quot;non-dropping-particle&quot;:&quot;&quot;},{&quot;family&quot;:&quot;Martawireja&quot;,&quot;given&quot;:&quot;Aji Erlangga&quot;,&quot;parse-names&quot;:false,&quot;dropping-particle&quot;:&quot;&quot;,&quot;non-dropping-particle&quot;:&quot;&quot;},{&quot;family&quot;:&quot;Nurhayati&quot;,&quot;given&quot;:&quot;Mafizatun&quot;,&quot;parse-names&quot;:false,&quot;dropping-particle&quot;:&quot;&quot;,&quot;non-dropping-particle&quot;:&quot;&quot;},{&quot;family&quot;:&quot;Tama&quot;,&quot;given&quot;:&quot;Eko&quot;,&quot;parse-names&quot;:false,&quot;dropping-particle&quot;:&quot;&quot;,&quot;non-dropping-particle&quot;:&quot;&quot;},{&quot;family&quot;:&quot;Saratian&quot;,&quot;given&quot;:&quot;Putra&quot;,&quot;parse-names&quot;:false,&quot;dropping-particle&quot;:&quot;&quot;,&quot;non-dropping-particle&quot;:&quot;&quot;},{&quot;family&quot;:&quot;Arief&quot;,&quot;given&quot;:&quot;Harefan&quot;,&quot;parse-names&quot;:false,&quot;dropping-particle&quot;:&quot;&quot;,&quot;non-dropping-particle&quot;:&quot;&quot;}],&quot;container-title&quot;:&quot;ICCD&quot;,&quot;accessed&quot;:{&quot;date-parts&quot;:[[2026,7,25]]},&quot;DOI&quot;:&quot;10.33068/ICCD.VOL3.ISS1.299&quot;,&quot;ISSN&quot;:&quot;2622-5611&quot;,&quot;URL&quot;:&quot;https://iccd.asia/ojs/index.php/iccd/article/view/299&quot;,&quot;issued&quot;:{&quot;date-parts&quot;:[[2021,10,10]]},&quot;page&quot;:&quot;52-56&quot;,&quot;abstract&quot;:&quot;Baitul Mal Wa Tamwil (BMT) is a non-bank financial institution as an integrated independent business center which is a bayt al-mal wa at-tamwil, which is an institution that develops productive and investment businesses to improve the quality of small entrepreneurs' businesses and encourage business forms. -a form of investment with the aim of empowering worldly and ukhrawi businesses through donations, zakat and alms. In its development, BMTs face the same problems, for example problematic customers. Sometimes there is a customer who is not only having problems in one place, but also in other places. Therefore, each BMT needs efforts to coordinate in order to narrow down the movements of problematic customers. BMTs also tend to face other BMTs as competitors to be defeated, not as partners or partners in an effort to exclude people from the economic problems they face. So that it causes the level of competition that is not Islamic and will even affect the BMT management pattern. However, in its development, BMTs face the same problems, for example problematic customers. Sometimes there is a customer who is not only having problems in one place, but also in other places. Therefore, each BMT needs efforts to coordinate in order to narrow down the movements of problematic customers. BMTs also tend to face other BMTs as competitors to be defeated, not as partners or partners in an effort to exclude people from the economic problems they face. So that it causes the level of competition that is not Islamic and will even affect the BMT management pattern.\nKeywords: BMT, Sharia Financial Institutions, Micro Finance Institutions, Social Impact&quot;,&quot;publisher&quot;:&quot;Universitas Prof. Dr. Moestopo Beragama&quot;,&quot;issue&quot;:&quot;1&quot;,&quot;volume&quot;:&quot;3&quot;,&quot;container-title-short&quot;:&quot;&quot;},&quot;isTemporary&quot;:false}]},{&quot;citationID&quot;:&quot;MENDELEY_CITATION_0c30a1c3-fdf7-4ff2-992b-83fe8cc44953&quot;,&quot;properties&quot;:{&quot;noteIndex&quot;:0},&quot;isEdited&quot;:false,&quot;manualOverride&quot;:{&quot;isManuallyOverridden&quot;:false,&quot;citeprocText&quot;:&quot;(Anwar et al., 2023)&quot;,&quot;manualOverrideText&quot;:&quot;&quot;},&quot;citationTag&quot;:&quot;MENDELEY_CITATION_v3_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&quot;,&quot;citationItems&quot;:[{&quot;id&quot;:&quot;cb6da291-f707-371a-a9e7-1eb4c0de55b2&quot;,&quot;itemData&quot;:{&quot;type&quot;:&quot;article-journal&quot;,&quot;id&quot;:&quot;cb6da291-f707-371a-a9e7-1eb4c0de55b2&quot;,&quot;title&quot;:&quot;The Role of Baitul Maal wat Tamwil in Empowering Msmes in Indonesia: a Study of Indonesian Islamic Microfinance Institutions&quot;,&quot;author&quot;:[{&quot;family&quot;:&quot;Anwar&quot;,&quot;given&quot;:&quot;Moch Khoirul&quot;,&quot;parse-names&quot;:false,&quot;dropping-particle&quot;:&quot;&quot;,&quot;non-dropping-particle&quot;:&quot;&quot;},{&quot;family&quot;:&quot;Ridlwan&quot;,&quot;given&quot;:&quot;Ahmad Ajib&quot;,&quot;parse-names&quot;:false,&quot;dropping-particle&quot;:&quot;&quot;,&quot;non-dropping-particle&quot;:&quot;&quot;},{&quot;family&quot;:&quot;Laili&quot;,&quot;given&quot;:&quot;Wakhidah Nur Rohmatul&quot;,&quot;parse-names&quot;:false,&quot;dropping-particle&quot;:&quot;&quot;,&quot;non-dropping-particle&quot;:&quot;&quot;}],&quot;container-title&quot;:&quot;International Journal of Professional Business Review&quot;,&quot;accessed&quot;:{&quot;date-parts&quot;:[[2026,7,25]]},&quot;DOI&quot;:&quot;10.26668/businessreview/2023.v8i4.913&quot;,&quot;ISSN&quot;:&quot;2525-3654&quot;,&quot;URL&quot;:&quot;https://openaccessojs.com/JBReview/article/view/913&quot;,&quot;issued&quot;:{&quot;date-parts&quot;:[[2023,4,4]]},&quot;page&quot;:&quot;e0913&quot;,&quot;abstract&quot;:&quot;Purpose: This study aims to determine the problems in Baitul Maal Wat Tamwil (BMT) in empowering the economy of the ummah in Indonesia.\n \nTheoretical framework: The main topics discussed are the concept and systematics of Baitul Maal Wa Tamwil, the role of BMT in the economic empowerment of MSMEs and people experiencing poverty, and the problems BMT faces.\n \nDesign/methodology/approach: This study uses a descriptive qualitative method that conveys data verbally and emphasizes contextual issues. Data were obtained from 24 BMT managers spread across East Java.\n \nFindings: The results of this study confirm that there are various problems perceived by BMT, including a lack of understanding of sharia economics owned by managers, DPS and members, limited capital, low participation of the general public, BMT regulations, existence, weak entrepreneurship skills of members, lack of sense of ownership of BMT presence, and implementation techniques and management that are not optimal.\n \nResearch, Practical &amp;amp; Social implications: This research contributes to classifying the problems that are currently occurring in several BMTs in East Java so that evaluations in several sectors can be identified that must be improved in order to optimize the role of the BMT in helping marginal communities to be free from poverty.\n \nOriginality/value: This research classifies the problems of BMT in Indonesia, not only discussing it from an economic perspective but this research also discussing BMT regulations.&quot;,&quot;publisher&quot;:&quot;AOS-Estratagia and Inovacao&quot;,&quot;issue&quot;:&quot;4&quot;,&quot;volume&quot;:&quot;8&quot;,&quot;container-title-short&quot;:&quot;&quot;},&quot;isTemporary&quot;:false}]},{&quot;citationID&quot;:&quot;MENDELEY_CITATION_969b86b6-5aae-4f99-a548-bc6009da315a&quot;,&quot;properties&quot;:{&quot;noteIndex&quot;:0},&quot;isEdited&quot;:false,&quot;manualOverride&quot;:{&quot;isManuallyOverridden&quot;:false,&quot;citeprocText&quot;:&quot;(Ascarya et al., 2018)&quot;,&quot;manualOverrideText&quot;:&quot;&quot;},&quot;citationTag&quot;:&quot;MENDELEY_CITATION_v3_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&quot;,&quot;citationItems&quot;:[{&quot;id&quot;:&quot;58c2b4bf-f892-3328-8d33-324218b4f5de&quot;,&quot;itemData&quot;:{&quot;type&quot;:&quot;article-journal&quot;,&quot;id&quot;:&quot;58c2b4bf-f892-3328-8d33-324218b4f5de&quot;,&quot;title&quot;:&quot;Design the Roadmap of Holistic Financial Inclusion for Baitul Maal wat Tamwil&quot;,&quot;author&quot;:[{&quot;family&quot;:&quot;Ascarya&quot;,&quot;given&quot;:&quot;.&quot;,&quot;parse-names&quot;:false,&quot;dropping-particle&quot;:&quot;&quot;,&quot;non-dropping-particle&quot;:&quot;&quot;},{&quot;family&quot;:&quot;Rahmawati&quot;,&quot;given&quot;:&quot;Siti&quot;,&quot;parse-names&quot;:false,&quot;dropping-particle&quot;:&quot;&quot;,&quot;non-dropping-particle&quot;:&quot;&quot;},{&quot;family&quot;:&quot;Tanjung&quot;,&quot;given&quot;:&quot;Hendri&quot;,&quot;parse-names&quot;:false,&quot;dropping-particle&quot;:&quot;&quot;,&quot;non-dropping-particle&quot;:&quot;&quot;}],&quot;container-title&quot;:&quot;Tazkia Islamic Finance and Business Review&quot;,&quot;accessed&quot;:{&quot;date-parts&quot;:[[2026,7,25]]},&quot;DOI&quot;:&quot;10.30993/TIFBR.V12I1.112&quot;,&quot;ISSN&quot;:&quot;2460-0717&quot;,&quot;URL&quot;:&quot;https://tifbr-tazkia.org/index.php/TIFBR/article/view/112&quot;,&quot;issued&quot;:{&quot;date-parts&quot;:[[2018,7,27]]},&quot;abstract&quot;:&quot;This paper aims to design the roadmap of Holistic Financial Inclusion (HFI) by Baitul Maal wat Tamwil (BMT), where Baitul Maal carries out social inclusion and Baitut Tamwil carries out financial inclusion, using Analysis Network Process (ANP). The results show that the most important aspects of HFI are Sustainability, Development Program, Financing Program and Islamic Microfinance Services, while the most important elements of HFI are regular meeting, micro savings, simplicity and easy access, consumption smoothing, bailout debt, savings program and income increase, followed by funding independent, total deposits, mindset change, and micro financing. HFI of BMT could be developed gradually. At the first stage, BMT should have the minimum 16 elements of HFI comprising 4 (four) Social Inclusion elements, 4 (four) Financial Inclusion elements, 4 (four) Double bottom-Line elements and 4 (four) Welfare Impact elements. At the second stage, BMT should add the next 16 elements comprising 5 (five) Social Inclusion elements and 3 (three) Financial Inclusion elements, 5 (five) Double Bottom-Line elements and 3 (three) Welfare Impact elements. Moreover, at the third stage, the remaining 24 elements of HFI should be fulfilled. All Islamic financial institution must have the characteristic of HFI.&quot;,&quot;publisher&quot;:&quot;STEI Tazkia&quot;,&quot;issue&quot;:&quot;1&quot;,&quot;volume&quot;:&quot;12&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E1C2EA23-DDEB-4999-A4FB-943C1BCD5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17</Pages>
  <Words>5222</Words>
  <Characters>29770</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WAKIL REKTOR II</cp:lastModifiedBy>
  <cp:revision>9</cp:revision>
  <dcterms:created xsi:type="dcterms:W3CDTF">2026-07-25T06:47:00Z</dcterms:created>
  <dcterms:modified xsi:type="dcterms:W3CDTF">2026-08-10T14:37:00Z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aea521a4-855d-47b0-9915-fabb916a2824</vt:lpwstr>
  </property>
</Properties>
</file>