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240" w:lineRule="auto"/>
        <w:jc w:val="center"/>
      </w:pPr>
      <w:r>
        <w:rPr>
          <w:rFonts w:ascii="Times New Roman" w:cs="Times New Roman" w:eastAsia="Times New Roman" w:hAnsi="Times New Roman"/>
          <w:b/>
          <w:bCs/>
          <w:sz w:val="28"/>
          <w:szCs w:val="28"/>
        </w:rPr>
        <w:t xml:space="preserve">Transformasi Filantropi Islam dalam Era Digital:</w:t>
      </w:r>
    </w:p>
    <w:p>
      <w:pPr>
        <w:spacing w:after="0" w:line="240" w:lineRule="auto"/>
        <w:jc w:val="center"/>
      </w:pPr>
      <w:r>
        <w:rPr>
          <w:rFonts w:ascii="Times New Roman" w:cs="Times New Roman" w:eastAsia="Times New Roman" w:hAnsi="Times New Roman"/>
          <w:b/>
          <w:bCs/>
          <w:sz w:val="28"/>
          <w:szCs w:val="28"/>
        </w:rPr>
        <w:t xml:space="preserve">Analisis Peran Platform Teknologi</w:t>
      </w:r>
    </w:p>
    <w:p>
      <w:pPr>
        <w:spacing w:after="0" w:line="240" w:lineRule="auto"/>
        <w:jc w:val="center"/>
      </w:pPr>
      <w:r>
        <w:rPr>
          <w:rFonts w:ascii="Times New Roman" w:cs="Times New Roman" w:eastAsia="Times New Roman" w:hAnsi="Times New Roman"/>
          <w:b w:val="false"/>
          <w:bCs w:val="false"/>
          <w:i w:val="false"/>
          <w:iCs w:val="false"/>
          <w:sz w:val="24"/>
          <w:szCs w:val="24"/>
        </w:rPr>
        <w:t xml:space="preserve"/>
      </w:r>
    </w:p>
    <w:p>
      <w:pPr>
        <w:spacing w:after="0" w:line="240" w:lineRule="auto"/>
        <w:jc w:val="center"/>
      </w:pPr>
      <w:r>
        <w:rPr>
          <w:rFonts w:ascii="Times New Roman" w:cs="Times New Roman" w:eastAsia="Times New Roman" w:hAnsi="Times New Roman"/>
          <w:b/>
          <w:bCs/>
          <w:i w:val="false"/>
          <w:iCs w:val="false"/>
          <w:sz w:val="24"/>
          <w:szCs w:val="24"/>
        </w:rPr>
        <w:t xml:space="preserve">Zainollah</w:t>
      </w:r>
    </w:p>
    <w:p>
      <w:pPr>
        <w:spacing w:after="0" w:line="240" w:lineRule="auto"/>
        <w:jc w:val="center"/>
      </w:pPr>
      <w:r>
        <w:rPr>
          <w:rFonts w:ascii="Times New Roman" w:cs="Times New Roman" w:eastAsia="Times New Roman" w:hAnsi="Times New Roman"/>
          <w:b w:val="false"/>
          <w:bCs w:val="false"/>
          <w:i/>
          <w:iCs/>
          <w:sz w:val="24"/>
          <w:szCs w:val="24"/>
        </w:rPr>
        <w:t xml:space="preserve">¹Program Studi Manajemen Dakwah, IAI Miftahul Ulum Pamekasan, Indonesia.</w:t>
      </w:r>
    </w:p>
    <w:p>
      <w:pPr>
        <w:spacing w:after="0" w:line="240" w:lineRule="auto"/>
        <w:jc w:val="center"/>
      </w:pPr>
      <w:r>
        <w:rPr>
          <w:rFonts w:ascii="Times New Roman" w:cs="Times New Roman" w:eastAsia="Times New Roman" w:hAnsi="Times New Roman"/>
          <w:b w:val="false"/>
          <w:bCs w:val="false"/>
          <w:i w:val="false"/>
          <w:iCs w:val="false"/>
          <w:sz w:val="24"/>
          <w:szCs w:val="24"/>
        </w:rPr>
        <w:t xml:space="preserve">Zainollah88@gmail.com</w:t>
      </w:r>
    </w:p>
    <w:p>
      <w:pPr>
        <w:spacing w:after="0" w:line="240" w:lineRule="auto"/>
        <w:jc w:val="center"/>
      </w:pPr>
      <w:r>
        <w:rPr>
          <w:rFonts w:ascii="Times New Roman" w:cs="Times New Roman" w:eastAsia="Times New Roman" w:hAnsi="Times New Roman"/>
          <w:b w:val="false"/>
          <w:bCs w:val="false"/>
          <w:i w:val="false"/>
          <w:iCs w:val="false"/>
          <w:sz w:val="24"/>
          <w:szCs w:val="24"/>
        </w:rPr>
        <w:t xml:space="preserve"/>
      </w:r>
    </w:p>
    <w:p>
      <w:pPr>
        <w:spacing w:after="120" w:before="240" w:line="240" w:lineRule="auto"/>
      </w:pPr>
      <w:r>
        <w:rPr>
          <w:rFonts w:ascii="Times New Roman" w:cs="Times New Roman" w:eastAsia="Times New Roman" w:hAnsi="Times New Roman"/>
          <w:b/>
          <w:bCs/>
          <w:sz w:val="24"/>
          <w:szCs w:val="24"/>
        </w:rPr>
        <w:t xml:space="preserve">Abstrak</w:t>
      </w:r>
    </w:p>
    <w:p>
      <w:pPr>
        <w:spacing w:after="200" w:line="360" w:lineRule="auto"/>
        <w:jc w:val="both"/>
      </w:pPr>
      <w:r>
        <w:rPr>
          <w:rFonts w:ascii="Times New Roman" w:cs="Times New Roman" w:eastAsia="Times New Roman" w:hAnsi="Times New Roman"/>
          <w:b w:val="false"/>
          <w:bCs w:val="false"/>
          <w:sz w:val="24"/>
          <w:szCs w:val="24"/>
        </w:rPr>
        <w:t xml:space="preserve">Filantropi Islam merupakan instrumen penting dalam mewujudkan keadilan sosial dan pemberdayaan ekonomi masyarakat melalui pengelolaan zakat, infak, sedekah, dan wakaf (ZISWAF). Perkembangan teknologi digital mengubah pola penghimpunan, pengelolaan, dan pendistribusian dana filantropi sehingga menghadirkan peluang sekaligus tantangan bagi lembaga filantropi Islam. Penelitian ini menganalisis transformasi filantropi Islam pada era digital dengan menitikberatkan pada peran platform teknologi dalam meningkatkan transparansi, partisipasi masyarakat, dan efektivitas pengelolaan dana sosial keagamaan. Penelitian menggunakan pendekatan kualitatif melalui studi kepustakaan dengan teknik analisis isi (content analysis) terhadap artikel ilmiah, laporan lembaga filantropi, regulasi, serta publikasi institusi terkait digitalisasi filantropi Islam. Hasil penelitian menunjukkan bahwa pemanfaatan platform digital memperluas akses masyarakat dalam berdonasi, meningkatkan akuntabilitas melalui informasi real-time, serta mempercepat distribusi bantuan kepada penerima manfaat. Namun demikian, transformasi digital juga menghadapi tantangan berupa kesenjangan literasi digital, keamanan data, perlindungan privasi, dan kebutuhan tata kelola digital yang lebih adaptif. Oleh karena itu, penguatan regulasi, inovasi teknologi, serta peningkatan kapasitas sumber daya manusia menjadi prasyarat utama untuk mewujudkan ekosistem filantropi Islam digital yang transparan, inklusif, dan berkelanjutan.</w:t>
      </w:r>
    </w:p>
    <w:p>
      <w:pPr>
        <w:spacing w:after="200" w:line="360" w:lineRule="auto"/>
        <w:jc w:val="both"/>
      </w:pPr>
      <w:r>
        <w:rPr>
          <w:rFonts w:ascii="Times New Roman" w:cs="Times New Roman" w:eastAsia="Times New Roman" w:hAnsi="Times New Roman"/>
          <w:b w:val="false"/>
          <w:bCs w:val="false"/>
          <w:sz w:val="24"/>
          <w:szCs w:val="24"/>
        </w:rPr>
        <w:t xml:space="preserve">Kata kunci: filantropi Islam, transformasi digital, zakat, wakaf, platform teknologi, tata kelola digital.</w:t>
      </w:r>
    </w:p>
    <w:p>
      <w:pPr>
        <w:spacing w:after="120" w:before="240" w:line="240" w:lineRule="auto"/>
      </w:pPr>
      <w:r>
        <w:rPr>
          <w:rFonts w:ascii="Times New Roman" w:cs="Times New Roman" w:eastAsia="Times New Roman" w:hAnsi="Times New Roman"/>
          <w:b/>
          <w:bCs/>
          <w:sz w:val="24"/>
          <w:szCs w:val="24"/>
        </w:rPr>
        <w:t xml:space="preserve">Abstract</w:t>
      </w:r>
    </w:p>
    <w:p>
      <w:pPr>
        <w:spacing w:after="200" w:line="360" w:lineRule="auto"/>
        <w:jc w:val="both"/>
      </w:pPr>
      <w:r>
        <w:rPr>
          <w:rFonts w:ascii="Times New Roman" w:cs="Times New Roman" w:eastAsia="Times New Roman" w:hAnsi="Times New Roman"/>
          <w:b w:val="false"/>
          <w:bCs w:val="false"/>
          <w:sz w:val="24"/>
          <w:szCs w:val="24"/>
        </w:rPr>
        <w:t xml:space="preserve">Islamic philanthropy is a vital instrument for advancing social justice and empowering communities through the management of zakat, infak, sadaqah, and waqf (ZISWAF). The rise of digital technology has transformed the collection, management, and distribution of philanthropic funds, creating both opportunities and challenges for Islamic philanthropic institutions. This study analyzes the transformation of Islamic philanthropy in the digital era, focusing on the role of technology platforms in enhancing transparency, public participation, and the effectiveness of managing religious social funds. Employing a qualitative literature-review approach, the research draws on scholarly articles, institutional reports, regulations, and publications related to the digitalization of Islamic philanthropy, examined through content analysis. The findings reveal that digital platforms expand public access to donations, strengthen accountability through real-time information, and accelerate the distribution of aid to beneficiaries. Nevertheless, challenges remain, including gaps in digital literacy, data security, privacy protection, and the need for more adaptive digital governance. Consequently, strengthening regulation, fostering technological innovation, and building human resource capacity are essential prerequisites for establishing a transparent, inclusive, and sustainable ecosystem of digital Islamic philanthropy.</w:t>
      </w:r>
    </w:p>
    <w:p>
      <w:pPr>
        <w:spacing w:after="200" w:line="360" w:lineRule="auto"/>
        <w:jc w:val="both"/>
      </w:pPr>
      <w:r>
        <w:rPr>
          <w:rFonts w:ascii="Times New Roman" w:cs="Times New Roman" w:eastAsia="Times New Roman" w:hAnsi="Times New Roman"/>
          <w:b w:val="false"/>
          <w:bCs w:val="false"/>
          <w:sz w:val="24"/>
          <w:szCs w:val="24"/>
        </w:rPr>
        <w:t xml:space="preserve">Keywords: Islamic philanthropy, digital transformation, zakat, waqf, technology platforms, digital governance.</w:t>
      </w:r>
    </w:p>
    <w:p>
      <w:pPr>
        <w:spacing w:after="120" w:before="240" w:line="240" w:lineRule="auto"/>
      </w:pPr>
      <w:r>
        <w:rPr>
          <w:rFonts w:ascii="Times New Roman" w:cs="Times New Roman" w:eastAsia="Times New Roman" w:hAnsi="Times New Roman"/>
          <w:b/>
          <w:bCs/>
          <w:sz w:val="24"/>
          <w:szCs w:val="24"/>
        </w:rPr>
        <w:t xml:space="preserve">Pendahuluan</w:t>
      </w:r>
    </w:p>
    <w:p>
      <w:pPr>
        <w:spacing w:after="200" w:line="360" w:lineRule="auto"/>
        <w:jc w:val="both"/>
      </w:pPr>
      <w:r>
        <w:rPr>
          <w:rFonts w:ascii="Times New Roman" w:cs="Times New Roman" w:eastAsia="Times New Roman" w:hAnsi="Times New Roman"/>
          <w:b w:val="false"/>
          <w:bCs w:val="false"/>
          <w:sz w:val="24"/>
          <w:szCs w:val="24"/>
        </w:rPr>
        <w:t xml:space="preserve">Filantropi Islam merupakan instrumen ekonomi sosial yang memiliki peran strategis dalam mewujudkan keadilan distributif, mengurangi kemiskinan, serta memperkuat kesejahteraan masyarakat melalui pengelolaan zakat, infak, sedekah, dan wakaf (ZISWAF). Berbeda dengan filantropi pada umumnya, filantropi Islam memiliki dimensi ibadah yang menjadikan aktivitas berbagi bagian dari implementasi ajaran syariat, sehingga pengelolaannya dituntut memenuhi prinsip amanah, keadilan, transparansi, dan akuntabilitas (Sadeq, 2002; Kahf, 2003; Latief, 2013).</w:t>
      </w:r>
    </w:p>
    <w:p>
      <w:pPr>
        <w:spacing w:after="200" w:line="360" w:lineRule="auto"/>
        <w:jc w:val="both"/>
      </w:pPr>
      <w:r>
        <w:rPr>
          <w:rFonts w:ascii="Times New Roman" w:cs="Times New Roman" w:eastAsia="Times New Roman" w:hAnsi="Times New Roman"/>
          <w:b w:val="false"/>
          <w:bCs w:val="false"/>
          <w:sz w:val="24"/>
          <w:szCs w:val="24"/>
        </w:rPr>
        <w:t xml:space="preserve">Perkembangan teknologi informasi dalam dua dekade terakhir membawa perubahan mendasar terhadap praktik filantropi, termasuk di Indonesia. Kehadiran mobile banking, dompet digital, payment gateway, media sosial, crowdfunding platform, dan aplikasi filantropi memungkinkan masyarakat berdonasi kapan saja dan dari mana saja sehingga hambatan geografis maupun administratif semakin berkurang (Schwab, 2016; UNDP, 2021). Indonesia, sebagai negara dengan potensi filantropi Islam terbesar di dunia, mencatat potensi zakat nasional mencapai ratusan triliun rupiah per tahun, meskipun realisasi penghimpunannya masih jauh di bawah potensi tersebut (BAZNAS, 2024). Kesenjangan ini menunjukkan bahwa digitalisasi menjadi strategi penting untuk memperluas basis muzaki, meningkatkan efisiensi operasional, dan memperkuat kepercayaan publik terhadap lembaga pengelola dana sosial keagamaan (Kasri &amp; Putri, 2018).</w:t>
      </w:r>
    </w:p>
    <w:p>
      <w:pPr>
        <w:spacing w:after="200" w:line="360" w:lineRule="auto"/>
        <w:jc w:val="both"/>
      </w:pPr>
      <w:r>
        <w:rPr>
          <w:rFonts w:ascii="Times New Roman" w:cs="Times New Roman" w:eastAsia="Times New Roman" w:hAnsi="Times New Roman"/>
          <w:b w:val="false"/>
          <w:bCs w:val="false"/>
          <w:sz w:val="24"/>
          <w:szCs w:val="24"/>
        </w:rPr>
        <w:t xml:space="preserve">Transformasi digital tidak hanya menghadirkan inovasi teknis pembayaran, tetapi juga mengubah paradigma pengelolaan filantropi: laporan penghimpunan dan penyaluran dana dapat disajikan secara real-time, dokumentasi program mudah diakses, dan komunikasi dua arah dengan masyarakat terbangun melalui media sosial — yang pada gilirannya memperkuat transparansi, akuntabilitas publik, dan kepercayaan (Saxton &amp; Guo, 2011; Cordery &amp; Baskerville, 2011). Di sisi lain, digitalisasi menghadirkan tantangan baru berupa kesenjangan literasi digital, risiko keamanan siber, penyalahgunaan data pribadi, dan penipuan daring (World Bank, 2021), sekaligus menuntut kesiapan sumber daya manusia yang mampu mengelola transformasi tersebut tanpa mengabaikan kepatuhan syariah dan regulasi nasional.</w:t>
      </w:r>
    </w:p>
    <w:p>
      <w:pPr>
        <w:spacing w:after="200" w:line="360" w:lineRule="auto"/>
        <w:jc w:val="both"/>
      </w:pPr>
      <w:r>
        <w:rPr>
          <w:rFonts w:ascii="Times New Roman" w:cs="Times New Roman" w:eastAsia="Times New Roman" w:hAnsi="Times New Roman"/>
          <w:b w:val="false"/>
          <w:bCs w:val="false"/>
          <w:sz w:val="24"/>
          <w:szCs w:val="24"/>
        </w:rPr>
        <w:t xml:space="preserve">Penelitian terdahulu telah mengkaji digitalisasi filantropi Islam dari berbagai perspektif, seperti adopsi teknologi pembayaran, perilaku donor, dan efektivitas penghimpunan zakat daring (Kasri &amp; Chaerunnisa, 2022; Ascarya et al., 2022), namun sebagian besar masih bersifat parsial dan membahas aspek teknologi atau perilaku pengguna secara terpisah. Kajian yang mengintegrasikan peran platform digital terhadap transparansi, partisipasi masyarakat, efektivitas penghimpunan-penyaluran dana, serta implikasinya terhadap tata kelola filantropi Islam masih relatif terbatas. Padahal, pemahaman komprehensif mengenai keterkaitan antar-aspek tersebut diperlukan sebagai dasar penyusunan strategi transformasi digital lembaga filantropi pada masa mendatang.</w:t>
      </w:r>
    </w:p>
    <w:p>
      <w:pPr>
        <w:spacing w:after="200" w:line="360" w:lineRule="auto"/>
        <w:jc w:val="both"/>
      </w:pPr>
      <w:r>
        <w:rPr>
          <w:rFonts w:ascii="Times New Roman" w:cs="Times New Roman" w:eastAsia="Times New Roman" w:hAnsi="Times New Roman"/>
          <w:b w:val="false"/>
          <w:bCs w:val="false"/>
          <w:sz w:val="24"/>
          <w:szCs w:val="24"/>
        </w:rPr>
        <w:t xml:space="preserve">Berdasarkan kesenjangan tersebut, penelitian ini diarahkan untuk menjawab bagaimana transformasi filantropi Islam berlangsung pada era digital melalui pemanfaatan platform teknologi, bagaimana platform digital berkontribusi terhadap peningkatan transparansi dan akuntabilitas pengelolaan dana ZISWAF, bagaimana digitalisasi memengaruhi partisipasi masyarakat dalam aktivitas filantropi, serta bagaimana efektivitas platform teknologi dalam meningkatkan penghimpunan dan pendistribusian dana filantropi Islam beserta tantangan yang dihadapi dalam implementasinya. Sejalan dengan itu, penelitian ini bertujuan menganalisis transformasi filantropi Islam dalam era digital, mengkaji peran platform teknologi dalam meningkatkan transparansi dan akuntabilitas lembaga filantropi, menjelaskan pengaruh digitalisasi terhadap partisipasi masyarakat, mengevaluasi efektivitas platform digital dalam penghimpunan dan pendistribusian dana ZISWAF, serta merumuskan rekomendasi bagi pengembangan tata kelola filantropi Islam berbasis teknologi yang lebih transparan, inklusif, dan berkelanjutan.</w:t>
      </w:r>
    </w:p>
    <w:p>
      <w:pPr>
        <w:spacing w:after="120" w:before="240" w:line="240" w:lineRule="auto"/>
      </w:pPr>
      <w:r>
        <w:rPr>
          <w:rFonts w:ascii="Times New Roman" w:cs="Times New Roman" w:eastAsia="Times New Roman" w:hAnsi="Times New Roman"/>
          <w:b/>
          <w:bCs/>
          <w:sz w:val="24"/>
          <w:szCs w:val="24"/>
        </w:rPr>
        <w:t xml:space="preserve">Tinjauan Pustaka</w:t>
      </w:r>
    </w:p>
    <w:p>
      <w:pPr>
        <w:spacing w:after="100" w:before="160" w:line="240" w:lineRule="auto"/>
      </w:pPr>
      <w:r>
        <w:rPr>
          <w:rFonts w:ascii="Times New Roman" w:cs="Times New Roman" w:eastAsia="Times New Roman" w:hAnsi="Times New Roman"/>
          <w:b/>
          <w:bCs/>
          <w:i/>
          <w:iCs/>
          <w:sz w:val="24"/>
          <w:szCs w:val="24"/>
        </w:rPr>
        <w:t xml:space="preserve">Filantropi Islam: Konsep dan Perkembangannya</w:t>
      </w:r>
    </w:p>
    <w:p>
      <w:pPr>
        <w:spacing w:after="200" w:line="360" w:lineRule="auto"/>
        <w:jc w:val="both"/>
      </w:pPr>
      <w:r>
        <w:rPr>
          <w:rFonts w:ascii="Times New Roman" w:cs="Times New Roman" w:eastAsia="Times New Roman" w:hAnsi="Times New Roman"/>
          <w:b w:val="false"/>
          <w:bCs w:val="false"/>
          <w:sz w:val="24"/>
          <w:szCs w:val="24"/>
        </w:rPr>
        <w:t xml:space="preserve">Filantropi secara umum dipahami sebagai aktivitas sukarela untuk meningkatkan kesejahteraan masyarakat melalui pemberian dana, waktu, maupun keahlian (Payton &amp; Moody, 2008). Dalam perspektif Islam, filantropi memiliki makna lebih luas karena juga merupakan manifestasi ketaatan kepada Allah SWT, didasarkan pada prinsip ta'awun (tolong-menolong), ukhuwwah (persaudaraan), dan maslahah (kemanfaatan umum), yang bertujuan menciptakan distribusi kekayaan yang lebih adil sekaligus memperkuat solidaritas sosial (Kahf, 2003; Sadeq, 2002).</w:t>
      </w:r>
    </w:p>
    <w:p>
      <w:pPr>
        <w:spacing w:after="200" w:line="360" w:lineRule="auto"/>
        <w:jc w:val="both"/>
      </w:pPr>
      <w:r>
        <w:rPr>
          <w:rFonts w:ascii="Times New Roman" w:cs="Times New Roman" w:eastAsia="Times New Roman" w:hAnsi="Times New Roman"/>
          <w:b w:val="false"/>
          <w:bCs w:val="false"/>
          <w:sz w:val="24"/>
          <w:szCs w:val="24"/>
        </w:rPr>
        <w:t xml:space="preserve">Berbeda dari filantropi konvensional yang sepenuhnya sukarela, filantropi Islam terdiri atas instrumen wajib (zakat, dengan syarat nisab dan haul) maupun sunnah (infak, sedekah, wakaf) yang lebih fleksibel (Latief, 2013). Di Indonesia, kehadiran organisasi pengelola zakat yang profesional — baik bentukan pemerintah maupun masyarakat — mendorong transformasi filantropi Islam dari sekadar aktivitas karitatif (charity) menjadi instrumen pembangunan sosial (social development) yang mendukung pengentasan kemiskinan dan pemberdayaan ekonomi (Fauzia, 2013; Latief, 2013). Perkembangan ini semakin dipercepat oleh teknologi digital, yang mengubah hubungan lembaga filantropi dan masyarakat dari interaksi konvensional menjadi ekosistem digital yang mengedepankan kemudahan akses, komunikasi dua arah, dan keterbukaan informasi (UNDP, 2021). Oleh karena itu, transformasi digital tidak hanya memengaruhi aspek operasional organisasi, tetapi juga mengubah karakteristik praktik filantropi Islam secara keseluruhan.</w:t>
      </w:r>
    </w:p>
    <w:p>
      <w:pPr>
        <w:spacing w:after="100" w:before="160" w:line="240" w:lineRule="auto"/>
      </w:pPr>
      <w:r>
        <w:rPr>
          <w:rFonts w:ascii="Times New Roman" w:cs="Times New Roman" w:eastAsia="Times New Roman" w:hAnsi="Times New Roman"/>
          <w:b/>
          <w:bCs/>
          <w:i/>
          <w:iCs/>
          <w:sz w:val="24"/>
          <w:szCs w:val="24"/>
        </w:rPr>
        <w:t xml:space="preserve">Zakat, Infak, Sedekah, dan Wakaf sebagai Instrumen Filantropi</w:t>
      </w:r>
    </w:p>
    <w:p>
      <w:pPr>
        <w:spacing w:after="200" w:line="360" w:lineRule="auto"/>
        <w:jc w:val="both"/>
      </w:pPr>
      <w:r>
        <w:rPr>
          <w:rFonts w:ascii="Times New Roman" w:cs="Times New Roman" w:eastAsia="Times New Roman" w:hAnsi="Times New Roman"/>
          <w:b w:val="false"/>
          <w:bCs w:val="false"/>
          <w:sz w:val="24"/>
          <w:szCs w:val="24"/>
        </w:rPr>
        <w:t xml:space="preserve">Zakat merupakan instrumen utama filantropi Islam yang berfungsi sebagai mekanisme redistribusi kekayaan untuk mengurangi kesenjangan sosial dan meningkatkan kesejahteraan mustahiq; jika dikelola profesional, zakat berkontribusi pada pemerataan pendapatan dan penguatan aktivitas ekonomi produktif (Kahf, 1999; Obaidullah, 2016). Infak dan sedekah, karena tidak dibatasi nisab maupun haul, lebih adaptif terhadap kebutuhan sosial mendesak maupun program pemberdayaan jangka panjang, dan kini berkembang pesat melalui platform digital yang memungkinkan donasi bernominal kecil namun berfrekuensi tinggi (Kasri &amp; Chaerunnisa, 2022).</w:t>
      </w:r>
    </w:p>
    <w:p>
      <w:pPr>
        <w:spacing w:after="200" w:line="360" w:lineRule="auto"/>
        <w:jc w:val="both"/>
      </w:pPr>
      <w:r>
        <w:rPr>
          <w:rFonts w:ascii="Times New Roman" w:cs="Times New Roman" w:eastAsia="Times New Roman" w:hAnsi="Times New Roman"/>
          <w:b w:val="false"/>
          <w:bCs w:val="false"/>
          <w:sz w:val="24"/>
          <w:szCs w:val="24"/>
        </w:rPr>
        <w:t xml:space="preserve">Wakaf mengalami perkembangan pesat melalui konsep wakaf produktif dan wakaf uang (cash waqf); jika sebelumnya berbentuk aset tidak bergerak, kini wakaf dapat dikelola sebagai dana investasi produktif yang hasilnya dimanfaatkan secara berkelanjutan (Cizakca, 2011), dengan digitalisasi yang memperluas akses masyarakat melalui aplikasi dan layanan crowdfunding. Sinergi keempat instrumen ini menegaskan bahwa filantropi Islam bersifat komprehensif: instrumen-instrumen tersebut tidak hanya berfungsi sebagai mekanisme bantuan sosial jangka pendek, tetapi juga dapat menjadi sumber pembiayaan pembangunan ekonomi berbasis masyarakat apabila dikelola secara profesional, transparan, dan berorientasi pada pemberdayaan (Obaidullah, 2016).</w:t>
      </w:r>
    </w:p>
    <w:p>
      <w:pPr>
        <w:spacing w:after="100" w:before="160" w:line="240" w:lineRule="auto"/>
      </w:pPr>
      <w:r>
        <w:rPr>
          <w:rFonts w:ascii="Times New Roman" w:cs="Times New Roman" w:eastAsia="Times New Roman" w:hAnsi="Times New Roman"/>
          <w:b/>
          <w:bCs/>
          <w:i/>
          <w:iCs/>
          <w:sz w:val="24"/>
          <w:szCs w:val="24"/>
        </w:rPr>
        <w:t xml:space="preserve">Digitalisasi Lembaga Filantropi Islam dan Kerangka Teori</w:t>
      </w:r>
    </w:p>
    <w:p>
      <w:pPr>
        <w:spacing w:after="200" w:line="360" w:lineRule="auto"/>
        <w:jc w:val="both"/>
      </w:pPr>
      <w:r>
        <w:rPr>
          <w:rFonts w:ascii="Times New Roman" w:cs="Times New Roman" w:eastAsia="Times New Roman" w:hAnsi="Times New Roman"/>
          <w:b w:val="false"/>
          <w:bCs w:val="false"/>
          <w:sz w:val="24"/>
          <w:szCs w:val="24"/>
        </w:rPr>
        <w:t xml:space="preserve">Transformasi digital mengubah tata kelola organisasi nirlaba, termasuk lembaga filantropi Islam, mencakup bukan hanya penggunaan teknologi informasi tetapi juga perubahan model bisnis, pola komunikasi, dan pengambilan keputusan berbasis data (Brennen &amp; Kreiss, 2016). Dalam konteks filantropi Islam, digitalisasi diwujudkan melalui aplikasi pembayaran zakat, online fundraising, dompet digital, integrasi mobile banking dan QRIS, media sosial, hingga cloud computing untuk pengelolaan data donor — inovasi yang meningkatkan efisiensi operasional sekaligus memperluas jangkauan penghimpunan tanpa batas geografis (UNDP, 2021). Platform digital juga membangun hubungan yang lebih erat dengan masyarakat melalui laporan berkala dan pemantauan program secara langsung, yang berkontribusi pada meningkatnya kepercayaan publik (Saxton &amp; Guo, 2011). Namun demikian, ancaman keamanan siber, perlindungan data, kesenjangan literasi digital, dan kesiapan SDM menjadi isu yang harus diiringi penguatan tata kelola dan regulasi (World Bank, 2021).</w:t>
      </w:r>
    </w:p>
    <w:p>
      <w:pPr>
        <w:spacing w:after="200" w:line="360" w:lineRule="auto"/>
        <w:jc w:val="both"/>
      </w:pPr>
      <w:r>
        <w:rPr>
          <w:rFonts w:ascii="Times New Roman" w:cs="Times New Roman" w:eastAsia="Times New Roman" w:hAnsi="Times New Roman"/>
          <w:b w:val="false"/>
          <w:bCs w:val="false"/>
          <w:sz w:val="24"/>
          <w:szCs w:val="24"/>
        </w:rPr>
        <w:t xml:space="preserve">Penelitian ini menggunakan Theory of Digital Transformation (Vial, 2019) sebagai landasan utama, yang menjelaskan transformasi digital sebagai proses perubahan menyeluruh terhadap strategi organisasi, model layanan, dan hubungan dengan pemangku kepentingan — bukan sekadar penerapan teknologi baru. Untuk menjelaskan pentingnya transparansi dan kepercayaan publik, penelitian ini juga mengadopsi Stakeholder Theory (Freeman, 1984), yang menekankan bahwa keberhasilan organisasi bergantung pada kemampuannya memenuhi harapan donor (muzaki), penerima manfaat (mustahiq), regulator, dan masyarakat luas.</w:t>
      </w:r>
    </w:p>
    <w:p>
      <w:pPr>
        <w:spacing w:after="200" w:line="360" w:lineRule="auto"/>
        <w:jc w:val="both"/>
      </w:pPr>
      <w:r>
        <w:rPr>
          <w:rFonts w:ascii="Times New Roman" w:cs="Times New Roman" w:eastAsia="Times New Roman" w:hAnsi="Times New Roman"/>
          <w:b w:val="false"/>
          <w:bCs w:val="false"/>
          <w:sz w:val="24"/>
          <w:szCs w:val="24"/>
        </w:rPr>
        <w:t xml:space="preserve">Berbagai penelitian terdahulu membahas digitalisasi zakat, adopsi financial technology, dan perilaku donor digital secara terpisah (Kasri &amp; Putri, 2018; Kasri &amp; Chaerunnisa, 2022; Ascarya et al., 2022), sementara kajian yang mengintegrasikan transformasi digital, transparansi organisasi, partisipasi masyarakat, dan efektivitas tata kelola filantropi Islam dalam satu kerangka konseptual masih relatif terbatas. Penelitian ini menawarkan kerangka analisis yang menempatkan platform teknologi sebagai faktor transformasional yang memengaruhi transparansi organisasi, partisipasi masyarakat, dan efektivitas pengelolaan dana ZISWAF sebagai tiga dimensi utama keberhasilan transformasi filantropi Islam digital, sehingga diharapkan memberikan kontribusi konseptual bagi pengembangan model tata kelola filantropi Islam berbasis teknologi yang lebih adaptif, akuntabel, dan berkelanjutan.</w:t>
      </w:r>
    </w:p>
    <w:p>
      <w:pPr>
        <w:spacing w:after="120" w:before="240" w:line="240" w:lineRule="auto"/>
      </w:pPr>
      <w:r>
        <w:rPr>
          <w:rFonts w:ascii="Times New Roman" w:cs="Times New Roman" w:eastAsia="Times New Roman" w:hAnsi="Times New Roman"/>
          <w:b/>
          <w:bCs/>
          <w:sz w:val="24"/>
          <w:szCs w:val="24"/>
        </w:rPr>
        <w:t xml:space="preserve">Metode Penelitian</w:t>
      </w:r>
    </w:p>
    <w:p>
      <w:pPr>
        <w:spacing w:after="200" w:line="360" w:lineRule="auto"/>
        <w:jc w:val="both"/>
      </w:pPr>
      <w:r>
        <w:rPr>
          <w:rFonts w:ascii="Times New Roman" w:cs="Times New Roman" w:eastAsia="Times New Roman" w:hAnsi="Times New Roman"/>
          <w:b w:val="false"/>
          <w:bCs w:val="false"/>
          <w:sz w:val="24"/>
          <w:szCs w:val="24"/>
        </w:rPr>
        <w:t xml:space="preserve">Penelitian ini menggunakan pendekatan kualitatif dengan jenis studi kepustakaan (library research), dipilih karena bertujuan memperoleh pemahaman komprehensif mengenai transformasi filantropi Islam era digital melalui sintesis temuan empiris dan konseptual dalam literatur ilmiah (Creswell &amp; Creswell, 2018; Snyder, 2019).</w:t>
      </w:r>
    </w:p>
    <w:p>
      <w:pPr>
        <w:spacing w:after="200" w:line="360" w:lineRule="auto"/>
        <w:jc w:val="both"/>
      </w:pPr>
      <w:r>
        <w:rPr>
          <w:rFonts w:ascii="Times New Roman" w:cs="Times New Roman" w:eastAsia="Times New Roman" w:hAnsi="Times New Roman"/>
          <w:b w:val="false"/>
          <w:bCs w:val="false"/>
          <w:sz w:val="24"/>
          <w:szCs w:val="24"/>
        </w:rPr>
        <w:t xml:space="preserve">Sumber data berupa data sekunder dari artikel jurnal nasional dan internasional, buku akademik, prosiding, laporan tahunan lembaga filantropi, dokumen kebijakan pemerintah, serta publikasi organisasi internasional terkait digitalisasi filantropi dan pengelolaan ZISWAF. Penelitian memprioritaskan artikel dari jurnal terindeks Scopus, Web of Science, DOAJ, dan SINTA dalam sepuluh tahun terakhir, tanpa mengabaikan karya klasik yang relevan sebagai landasan konseptual. Penelusuran literatur dilakukan secara sistematis melalui Scopus, Web of Science, Google Scholar, Dimensions, dan Crossref, dengan kata kunci Islamic philanthropy, digital philanthropy, zakat digital, waqf digital, Islamic social finance, financial technology, digital platform, online donation, serta padanan bahasa Indonesia.</w:t>
      </w:r>
    </w:p>
    <w:p>
      <w:pPr>
        <w:spacing w:after="200" w:line="360" w:lineRule="auto"/>
        <w:jc w:val="both"/>
      </w:pPr>
      <w:r>
        <w:rPr>
          <w:rFonts w:ascii="Times New Roman" w:cs="Times New Roman" w:eastAsia="Times New Roman" w:hAnsi="Times New Roman"/>
          <w:b w:val="false"/>
          <w:bCs w:val="false"/>
          <w:sz w:val="24"/>
          <w:szCs w:val="24"/>
        </w:rPr>
        <w:t xml:space="preserve">Analisis data dilakukan menggunakan analisis isi kualitatif (Krippendorff, 2018) melalui tahapan: pembacaan mendalam seluruh literatur, pengkodean (coding) tema utama, pengelompokan tema ke dalam lima kategori — (1) transformasi digital lembaga filantropi Islam, (2) transparansi dan akuntabilitas pengelolaan dana, (3) partisipasi masyarakat dalam platform digital, (4) efektivitas penghimpunan-pendistribusian dana ZISWAF, dan (5) tantangan-peluang implementasi teknologi digital — serta sintesis konseptual untuk menjawab rumusan masalah. Kredibilitas hasil dijaga melalui triangulasi sumber (artikel ilmiah, laporan lembaga, dokumen pemerintah, publikasi internasional) dan critical appraisal terhadap reputasi penerbit, kualitas metodologi, konsistensi temuan, dan relevansi setiap referensi. Langkah ini bertujuan meminimalkan bias interpretasi sekaligus memastikan bahwa sintesis yang dihasilkan didasarkan pada bukti ilmiah yang valid dan mutakhir, sehingga menghasilkan kerangka analisis yang menjelaskan bagaimana platform teknologi mentransformasi tata kelola filantropi Islam melalui peningkatan transparansi, perluasan partisipasi masyarakat, serta peningkatan efektivitas penghimpunan dan pendistribusian dana sosial keagamaan.</w:t>
      </w:r>
    </w:p>
    <w:p>
      <w:pPr>
        <w:spacing w:after="120" w:before="240" w:line="240" w:lineRule="auto"/>
      </w:pPr>
      <w:r>
        <w:rPr>
          <w:rFonts w:ascii="Times New Roman" w:cs="Times New Roman" w:eastAsia="Times New Roman" w:hAnsi="Times New Roman"/>
          <w:b/>
          <w:bCs/>
          <w:sz w:val="24"/>
          <w:szCs w:val="24"/>
        </w:rPr>
        <w:t xml:space="preserve">Hasil dan Pembahasan</w:t>
      </w:r>
    </w:p>
    <w:p>
      <w:pPr>
        <w:spacing w:after="100" w:before="160" w:line="240" w:lineRule="auto"/>
      </w:pPr>
      <w:r>
        <w:rPr>
          <w:rFonts w:ascii="Times New Roman" w:cs="Times New Roman" w:eastAsia="Times New Roman" w:hAnsi="Times New Roman"/>
          <w:b/>
          <w:bCs/>
          <w:i/>
          <w:iCs/>
          <w:sz w:val="24"/>
          <w:szCs w:val="24"/>
        </w:rPr>
        <w:t xml:space="preserve">Transformasi Model Filantropi Islam pada Era Digital</w:t>
      </w:r>
    </w:p>
    <w:p>
      <w:pPr>
        <w:spacing w:after="200" w:line="360" w:lineRule="auto"/>
        <w:jc w:val="both"/>
      </w:pPr>
      <w:r>
        <w:rPr>
          <w:rFonts w:ascii="Times New Roman" w:cs="Times New Roman" w:eastAsia="Times New Roman" w:hAnsi="Times New Roman"/>
          <w:b w:val="false"/>
          <w:bCs w:val="false"/>
          <w:sz w:val="24"/>
          <w:szCs w:val="24"/>
        </w:rPr>
        <w:t xml:space="preserve">Jika sebelumnya penghimpunan ZISWAF didominasi interaksi tatap muka melalui kantor layanan atau petugas penghimpun, kini proses tersebut bergeser ke ekosistem digital yang menghubungkan lembaga filantropi dengan masyarakat melalui berbagai platform berbasis internet — mengubah pola komunikasi, mekanisme pelayanan, sistem pelaporan, dan hubungan dengan pemangku kepentingan (Vial, 2019). Hubungan donor-lembaga yang sebelumnya transaction-oriented kini bergeser menjadi engagement-oriented: donor dapat memantau program, menerima laporan penyaluran dana, dan berkomunikasi langsung melalui kanal digital, yang memperkuat keterlibatan dan loyalitas (Saxton &amp; Guo, 2011).</w:t>
      </w:r>
    </w:p>
    <w:p>
      <w:pPr>
        <w:spacing w:after="200" w:line="360" w:lineRule="auto"/>
        <w:jc w:val="both"/>
      </w:pPr>
      <w:r>
        <w:rPr>
          <w:rFonts w:ascii="Times New Roman" w:cs="Times New Roman" w:eastAsia="Times New Roman" w:hAnsi="Times New Roman"/>
          <w:b w:val="false"/>
          <w:bCs w:val="false"/>
          <w:sz w:val="24"/>
          <w:szCs w:val="24"/>
        </w:rPr>
        <w:t xml:space="preserve">Perkembangan ini terlihat dari meluasnya layanan pembayaran zakat dan donasi daring, integrasi dengan mobile banking, QRIS, dompet digital, hingga marketplace filantropi, yang mendorong peningkatan frekuensi donasi terutama pada masyarakat perkotaan dan generasi muda dengan adopsi teknologi tinggi (Kasri &amp; Chaerunnisa, 2022). Digitalisasi juga menggeser orientasi pengelolaan dana dari pendekatan administratif menuju data-driven management, memungkinkan lembaga menganalisis profil donor dan efektivitas kampanye untuk mendukung pengambilan keputusan.</w:t>
      </w:r>
    </w:p>
    <w:p>
      <w:pPr>
        <w:spacing w:after="200" w:line="360" w:lineRule="auto"/>
        <w:jc w:val="both"/>
      </w:pPr>
      <w:r>
        <w:rPr>
          <w:rFonts w:ascii="Times New Roman" w:cs="Times New Roman" w:eastAsia="Times New Roman" w:hAnsi="Times New Roman"/>
          <w:b w:val="false"/>
          <w:bCs w:val="false"/>
          <w:sz w:val="24"/>
          <w:szCs w:val="24"/>
        </w:rPr>
        <w:t xml:space="preserve">Meskipun demikian, tingkat transformasi digital antarlembaga masih bervariasi: lembaga dengan sumber daya finansial dan kapasitas SDM memadai mampu mengembangkan platform lebih komprehensif, sementara lembaga berkapasitas terbatas masih menghadapi kendala integrasi teknologi — menegaskan bahwa keberhasilan transformasi bergantung pada organizational readiness, bukan semata ketersediaan teknologi (Westerman et al., 2014). Dalam perspektif Stakeholder Theory, transformasi digital memperluas ruang interaksi: donor menjadi mitra yang berekspektasi terhadap transparansi dan akuntabilitas, sementara mustahiq memperoleh akses lebih cepat terhadap informasi program dan mekanisme bantuan.</w:t>
      </w:r>
    </w:p>
    <w:p>
      <w:pPr>
        <w:spacing w:after="200" w:line="360" w:lineRule="auto"/>
        <w:jc w:val="both"/>
      </w:pPr>
      <w:r>
        <w:rPr>
          <w:rFonts w:ascii="Times New Roman" w:cs="Times New Roman" w:eastAsia="Times New Roman" w:hAnsi="Times New Roman"/>
          <w:b w:val="false"/>
          <w:bCs w:val="false"/>
          <w:sz w:val="24"/>
          <w:szCs w:val="24"/>
        </w:rPr>
        <w:t xml:space="preserve">Temuan sintesis literatur menunjukkan bahwa transformasi digital pada filantropi Islam merupakan proses multidimensional yang melibatkan perubahan teknologi, organisasi, dan perilaku masyarakat secara simultan, sehingga keberhasilannya tidak cukup diukur dari banyaknya aplikasi digital yang digunakan, melainkan dari kemampuan platform tersebut meningkatkan kepercayaan publik dan memperbesar manfaat yang diterima mustahiq.</w:t>
      </w:r>
    </w:p>
    <w:p>
      <w:pPr>
        <w:spacing w:after="100" w:before="160" w:line="240" w:lineRule="auto"/>
      </w:pPr>
      <w:r>
        <w:rPr>
          <w:rFonts w:ascii="Times New Roman" w:cs="Times New Roman" w:eastAsia="Times New Roman" w:hAnsi="Times New Roman"/>
          <w:b/>
          <w:bCs/>
          <w:i/>
          <w:iCs/>
          <w:sz w:val="24"/>
          <w:szCs w:val="24"/>
        </w:rPr>
        <w:t xml:space="preserve">Platform Teknologi sebagai Penggerak Transparansi dan Akuntabilitas</w:t>
      </w:r>
    </w:p>
    <w:p>
      <w:pPr>
        <w:spacing w:after="200" w:line="360" w:lineRule="auto"/>
        <w:jc w:val="both"/>
      </w:pPr>
      <w:r>
        <w:rPr>
          <w:rFonts w:ascii="Times New Roman" w:cs="Times New Roman" w:eastAsia="Times New Roman" w:hAnsi="Times New Roman"/>
          <w:b w:val="false"/>
          <w:bCs w:val="false"/>
          <w:sz w:val="24"/>
          <w:szCs w:val="24"/>
        </w:rPr>
        <w:t xml:space="preserve">Dalam perspektif syariah, pengelolaan dana ZISWAF merupakan amanah yang harus dipertanggungjawabkan kepada muzaki, masyarakat, dan Allah SWT (Kahf, 2003; Latief, 2013). Jika sebelumnya laporan disampaikan secara periodik melalui media cetak dengan jangkauan terbatas, platform digital kini memungkinkan penyediaan informasi real-time melalui situs web, aplikasi seluler, dan media sosial. Saxton dan Guo (2011) menjelaskan bahwa teknologi informasi meningkatkan kapasitas organisasi nirlaba membangun komunikasi transparan — bukan hanya laporan keuangan, tetapi juga dokumentasi program dan capaian sosial — yang memperkuat akuntabilitas dan kepercayaan publik.</w:t>
      </w:r>
    </w:p>
    <w:p>
      <w:pPr>
        <w:spacing w:after="200" w:line="360" w:lineRule="auto"/>
        <w:jc w:val="both"/>
      </w:pPr>
      <w:r>
        <w:rPr>
          <w:rFonts w:ascii="Times New Roman" w:cs="Times New Roman" w:eastAsia="Times New Roman" w:hAnsi="Times New Roman"/>
          <w:b w:val="false"/>
          <w:bCs w:val="false"/>
          <w:sz w:val="24"/>
          <w:szCs w:val="24"/>
        </w:rPr>
        <w:t xml:space="preserve">Sistem informasi terintegrasi memungkinkan setiap transaksi tercatat otomatis, terdokumentasi, dan mudah diaudit, mengurangi ketergantungan pada pencatatan manual yang rentan kesalahan maupun penyalahgunaan dana (Cordery &amp; Baskerville, 2011). Kasri dan Putri (2018) menemukan bahwa kepercayaan masyarakat terhadap lembaga zakat dipengaruhi kualitas tata kelola dan keterbukaan informasi; temuan ini diperkuat Kasri dan Chaerunnisa (2022), yang menunjukkan kemudahan akses informasi digital meningkatkan keyakinan donor dan mendorong donasi berulang. Media sosial juga berkembang menjadi instrumen transparansi melalui foto, video, infografik, dan siaran langsung yang memperkuat sense of participation masyarakat.</w:t>
      </w:r>
    </w:p>
    <w:p>
      <w:pPr>
        <w:spacing w:after="200" w:line="360" w:lineRule="auto"/>
        <w:jc w:val="both"/>
      </w:pPr>
      <w:r>
        <w:rPr>
          <w:rFonts w:ascii="Times New Roman" w:cs="Times New Roman" w:eastAsia="Times New Roman" w:hAnsi="Times New Roman"/>
          <w:b w:val="false"/>
          <w:bCs w:val="false"/>
          <w:sz w:val="24"/>
          <w:szCs w:val="24"/>
        </w:rPr>
        <w:t xml:space="preserve">Namun, transparansi digital tidak hanya bergantung pada ketersediaan teknologi, tetapi juga kualitas informasi — yang tidak lengkap, sulit dipahami, atau jarang diperbarui akan mengurangi efektivitas platform dalam membangun kepercayaan. Dalam konteks ini, transparansi harus dipahami sebagai proses penyediaan informasi yang akurat, relevan, tepat waktu, dan dapat diverifikasi oleh seluruh pemangku kepentingan. Lembaga filantropi karenanya perlu menerapkan standar pelaporan yang konsisten dan didukung sistem verifikasi independen. Teknologi blockchain, dengan karakteristik terdesentralisasi, immutable, dan traceable, juga mulai dilirik sebagai instrumen memperkuat integritas data pengelolaan dana filantropi Islam pada masa mendatang, meski implementasinya masih terbatas (Casino et al., 2019).</w:t>
      </w:r>
    </w:p>
    <w:p>
      <w:pPr>
        <w:spacing w:after="200" w:line="360" w:lineRule="auto"/>
        <w:jc w:val="both"/>
      </w:pPr>
      <w:r>
        <w:rPr>
          <w:rFonts w:ascii="Times New Roman" w:cs="Times New Roman" w:eastAsia="Times New Roman" w:hAnsi="Times New Roman"/>
          <w:b w:val="false"/>
          <w:bCs w:val="false"/>
          <w:sz w:val="24"/>
          <w:szCs w:val="24"/>
        </w:rPr>
        <w:t xml:space="preserve">Dalam perspektif Stakeholder Theory (Freeman, 1984), transparansi digital merupakan mekanisme organisasi memenuhi kebutuhan informasi pemangku kepentingan: donor memerlukan kepastian penggunaan dana sesuai tujuan, regulator membutuhkan kepatuhan hukum, sedangkan masyarakat mengharapkan dampak sosial nyata. Dengan demikian, akuntabilitas tidak lagi diwujudkan semata melalui laporan tahunan yang retrospektif, melainkan melalui komunikasi digital yang berkelanjutan dan interaktif.</w:t>
      </w:r>
    </w:p>
    <w:p>
      <w:pPr>
        <w:spacing w:after="100" w:before="160" w:line="240" w:lineRule="auto"/>
      </w:pPr>
      <w:r>
        <w:rPr>
          <w:rFonts w:ascii="Times New Roman" w:cs="Times New Roman" w:eastAsia="Times New Roman" w:hAnsi="Times New Roman"/>
          <w:b/>
          <w:bCs/>
          <w:i/>
          <w:iCs/>
          <w:sz w:val="24"/>
          <w:szCs w:val="24"/>
        </w:rPr>
        <w:t xml:space="preserve">Digitalisasi dan Peningkatan Partisipasi Masyarakat</w:t>
      </w:r>
    </w:p>
    <w:p>
      <w:pPr>
        <w:spacing w:after="200" w:line="360" w:lineRule="auto"/>
        <w:jc w:val="both"/>
      </w:pPr>
      <w:r>
        <w:rPr>
          <w:rFonts w:ascii="Times New Roman" w:cs="Times New Roman" w:eastAsia="Times New Roman" w:hAnsi="Times New Roman"/>
          <w:b w:val="false"/>
          <w:bCs w:val="false"/>
          <w:sz w:val="24"/>
          <w:szCs w:val="24"/>
        </w:rPr>
        <w:t xml:space="preserve">Digitalisasi mengubah pola interaksi lembaga filantropi dan masyarakat dari transaksional menjadi partisipatif dan kolaboratif, didorong kemudahan akses layanan yang memungkinkan masyarakat menunaikan ZISWAF kapan saja tanpa dibatasi lokasi atau jam operasional (UNDP, 2021). Dalam perspektif adopsi teknologi, kemudahan penggunaan (perceived ease of use) dan persepsi manfaat (perceived usefulness) mendorong pemanfaatan layanan digital (Davis, 1989) — tercermin dari penyederhanaan proses pembayaran dan kecepatan konfirmasi yang menurunkan hambatan administratif donasi.</w:t>
      </w:r>
    </w:p>
    <w:p>
      <w:pPr>
        <w:spacing w:after="200" w:line="360" w:lineRule="auto"/>
        <w:jc w:val="both"/>
      </w:pPr>
      <w:r>
        <w:rPr>
          <w:rFonts w:ascii="Times New Roman" w:cs="Times New Roman" w:eastAsia="Times New Roman" w:hAnsi="Times New Roman"/>
          <w:b w:val="false"/>
          <w:bCs w:val="false"/>
          <w:sz w:val="24"/>
          <w:szCs w:val="24"/>
        </w:rPr>
        <w:t xml:space="preserve">Integrasi platform zakat dengan mobile banking, dompet digital, QRIS, dan sistem pembayaran elektronik menciptakan ekosistem donasi yang inklusif sekaligus menurunkan biaya transaksi. Media sosial (Instagram, Facebook, X, TikTok, YouTube) berperan sebagai sarana edukasi, kampanye, dan pembangunan komunitas filantropi; komunikasi digital yang interaktif terbukti meningkatkan keterlibatan donor dan memperkuat hubungan jangka panjang (Saxton &amp; Wang, 2014). Fenomena crowdfunding turut memberi dimensi baru: kontribusi individu bernominal kecil terakumulasi (collective giving) menjadi sumber pendanaan signifikan bagi program sosial, pendidikan, kesehatan, maupun pemberdayaan ekonomi.</w:t>
      </w:r>
    </w:p>
    <w:p>
      <w:pPr>
        <w:spacing w:after="200" w:line="360" w:lineRule="auto"/>
        <w:jc w:val="both"/>
      </w:pPr>
      <w:r>
        <w:rPr>
          <w:rFonts w:ascii="Times New Roman" w:cs="Times New Roman" w:eastAsia="Times New Roman" w:hAnsi="Times New Roman"/>
          <w:b w:val="false"/>
          <w:bCs w:val="false"/>
          <w:sz w:val="24"/>
          <w:szCs w:val="24"/>
        </w:rPr>
        <w:t xml:space="preserve">Digitalisasi juga mengubah karakteristik donor — generasi milenial dan Generasi Z kini semakin aktif, lebih responsif terhadap teknologi, mengutamakan transparansi, dan cenderung mendukung organisasi yang menunjukkan dampak sosial nyata. Kasri dan Chaerunnisa (2022) menemukan bahwa kemudahan penggunaan platform, kepercayaan terhadap lembaga, dan persepsi keamanan transaksi memengaruhi keputusan menggunakan layanan zakat digital, memperkuat temuan Kasri dan Putri (2018) bahwa adopsi teknologi filantropi bergantung pula pada kepercayaan pengguna. Meski demikian, kesenjangan literasi digital pada kelompok lanjut usia, masyarakat pedesaan, dan wilayah dengan infrastruktur terbatas, ditambah kekhawatiran keamanan transaksi dan data pribadi, tetap menjadi kendala partisipasi (World Bank, 2021) — sehingga peningkatan partisipasi memerlukan edukasi digital dan penguatan keamanan informasi, bukan sekadar penyediaan teknologi.</w:t>
      </w:r>
    </w:p>
    <w:p>
      <w:pPr>
        <w:spacing w:after="200" w:line="360" w:lineRule="auto"/>
        <w:jc w:val="both"/>
      </w:pPr>
      <w:r>
        <w:rPr>
          <w:rFonts w:ascii="Times New Roman" w:cs="Times New Roman" w:eastAsia="Times New Roman" w:hAnsi="Times New Roman"/>
          <w:b w:val="false"/>
          <w:bCs w:val="false"/>
          <w:sz w:val="24"/>
          <w:szCs w:val="24"/>
        </w:rPr>
        <w:t xml:space="preserve">Dalam perspektif Stakeholder Theory, partisipasi masyarakat merupakan bentuk keterlibatan aktif pemangku kepentingan dalam mendukung keberlangsungan organisasi; ketika masyarakat memperoleh kemudahan berdonasi, akses informasi transparan, dan bukti nyata dampak sosial program, kepercayaan dan loyalitas terhadap lembaga filantropi akan meningkat, sebaliknya digitalisasi tanpa tata kelola yang baik tidak akan menghasilkan partisipasi yang berkelanjutan.</w:t>
      </w:r>
    </w:p>
    <w:p>
      <w:pPr>
        <w:spacing w:after="100" w:before="160" w:line="240" w:lineRule="auto"/>
      </w:pPr>
      <w:r>
        <w:rPr>
          <w:rFonts w:ascii="Times New Roman" w:cs="Times New Roman" w:eastAsia="Times New Roman" w:hAnsi="Times New Roman"/>
          <w:b/>
          <w:bCs/>
          <w:i/>
          <w:iCs/>
          <w:sz w:val="24"/>
          <w:szCs w:val="24"/>
        </w:rPr>
        <w:t xml:space="preserve">Efektivitas Platform Digital dalam Pengelolaan Dana ZISWAF</w:t>
      </w:r>
    </w:p>
    <w:p>
      <w:pPr>
        <w:spacing w:after="200" w:line="360" w:lineRule="auto"/>
        <w:jc w:val="both"/>
      </w:pPr>
      <w:r>
        <w:rPr>
          <w:rFonts w:ascii="Times New Roman" w:cs="Times New Roman" w:eastAsia="Times New Roman" w:hAnsi="Times New Roman"/>
          <w:b w:val="false"/>
          <w:bCs w:val="false"/>
          <w:sz w:val="24"/>
          <w:szCs w:val="24"/>
        </w:rPr>
        <w:t xml:space="preserve">Efektivitas transformasi digital tidak hanya diukur dari peningkatan jumlah dana yang dihimpun, tetapi juga kemampuan organisasi mengoptimalkan penghimpunan, pengelolaan, pendistribusian, dan evaluasi program secara tepat waktu, tepat sasaran, dan berdampak berkelanjutan (Obaidullah, 2016). Platform digital menghilangkan sebagian besar hambatan penghimpunan konvensional melalui layanan donasi daring 24 jam, menurunkan biaya transaksi dan memperluas jangkauan (UNDP, 2021), sementara integrasi sistem informasi mengotomatisasi verifikasi pembayaran, pencatatan transaksi, dan penyusunan laporan — mengurangi human error dan memperkuat pengendalian internal (Cordery &amp; Baskerville, 2011).</w:t>
      </w:r>
    </w:p>
    <w:p>
      <w:pPr>
        <w:spacing w:after="200" w:line="360" w:lineRule="auto"/>
        <w:jc w:val="both"/>
      </w:pPr>
      <w:r>
        <w:rPr>
          <w:rFonts w:ascii="Times New Roman" w:cs="Times New Roman" w:eastAsia="Times New Roman" w:hAnsi="Times New Roman"/>
          <w:b w:val="false"/>
          <w:bCs w:val="false"/>
          <w:sz w:val="24"/>
          <w:szCs w:val="24"/>
        </w:rPr>
        <w:t xml:space="preserve">Pada aspek distribusi, pemanfaatan basis data penerima manfaat dan sistem informasi geografis membantu organisasi memetakan kebutuhan secara lebih akurat dan mengurangi duplikasi maupun ketidaktepatan alokasi dana, sekaligus mempercepat penyaluran bantuan pada kondisi darurat seperti bencana alam atau krisis kemanusiaan. Analisis data (data analytics) turut mendorong pergeseran dari pengambilan keputusan berbasis pengalaman menuju data-driven decision making (Vial, 2019). Kasri dan Putri (2018) melaporkan digitalisasi memperluas basis donor dan efisiensi penghimpunan zakat; Kasri dan Chaerunnisa (2022) menemukan platform digital meningkatkan frekuensi donasi dan loyalitas donor; sementara Ascarya et al. (2022) menunjukkan digitalisasi keuangan syariah memperkuat integrasi layanan keuangan digital dengan pengelolaan dana sosial Islam.</w:t>
      </w:r>
    </w:p>
    <w:p>
      <w:pPr>
        <w:spacing w:after="200" w:line="360" w:lineRule="auto"/>
        <w:jc w:val="both"/>
      </w:pPr>
      <w:r>
        <w:rPr>
          <w:rFonts w:ascii="Times New Roman" w:cs="Times New Roman" w:eastAsia="Times New Roman" w:hAnsi="Times New Roman"/>
          <w:b w:val="false"/>
          <w:bCs w:val="false"/>
          <w:sz w:val="24"/>
          <w:szCs w:val="24"/>
        </w:rPr>
        <w:t xml:space="preserve">Namun demikian, efektivitas platform digital tidak semata ditentukan kecanggihan teknologi, melainkan kapasitas organisasi mengelolanya — infrastruktur digital tanpa SDM kompeten dan tata kelola akuntabel tidak akan menghasilkan peningkatan kinerja. Westerman et al. (2014) menegaskan bahwa keberhasilan transformasi digital merupakan hasil sinergi antara investasi teknologi dan transformasi organisasi, sehingga lembaga filantropi Islam perlu memandang digitalisasi sebagai proses perubahan kelembagaan secara menyeluruh, bukan sekadar pengadaan perangkat lunak atau aplikasi. Ketergantungan pada sistem digital juga meningkatkan risiko gangguan operasional akibat kegagalan sistem, serangan siber, atau kebocoran data, sementara kesenjangan kapasitas teknologi antarlembaga berpotensi menciptakan ketimpangan digitalisasi apabila tidak diimbangi dukungan kebijakan dan penguatan sumber daya.</w:t>
      </w:r>
    </w:p>
    <w:p>
      <w:pPr>
        <w:spacing w:after="200" w:line="360" w:lineRule="auto"/>
        <w:jc w:val="both"/>
      </w:pPr>
      <w:r>
        <w:rPr>
          <w:rFonts w:ascii="Times New Roman" w:cs="Times New Roman" w:eastAsia="Times New Roman" w:hAnsi="Times New Roman"/>
          <w:b w:val="false"/>
          <w:bCs w:val="false"/>
          <w:sz w:val="24"/>
          <w:szCs w:val="24"/>
        </w:rPr>
        <w:t xml:space="preserve">Dalam perspektif Theory of Digital Transformation, peningkatan efektivitas organisasi merupakan konsekuensi dari kemampuan lembaga mengintegrasikan teknologi dengan perubahan proses bisnis, budaya organisasi, dan tata kelola (Vial, 2019). Oleh karena itu, efektivitas platform digital sebaiknya tidak hanya diukur dari peningkatan penghimpunan dana, tetapi juga dari kemampuan organisasi menciptakan nilai publik berupa peningkatan kualitas layanan, pemerataan distribusi manfaat, dan meningkatnya kepercayaan masyarakat.</w:t>
      </w:r>
    </w:p>
    <w:p>
      <w:pPr>
        <w:spacing w:after="100" w:before="160" w:line="240" w:lineRule="auto"/>
      </w:pPr>
      <w:r>
        <w:rPr>
          <w:rFonts w:ascii="Times New Roman" w:cs="Times New Roman" w:eastAsia="Times New Roman" w:hAnsi="Times New Roman"/>
          <w:b/>
          <w:bCs/>
          <w:i/>
          <w:iCs/>
          <w:sz w:val="24"/>
          <w:szCs w:val="24"/>
        </w:rPr>
        <w:t xml:space="preserve">Tantangan dan Arah Pengembangan Filantropi Islam Digital</w:t>
      </w:r>
    </w:p>
    <w:p>
      <w:pPr>
        <w:spacing w:after="200" w:line="360" w:lineRule="auto"/>
        <w:jc w:val="both"/>
      </w:pPr>
      <w:r>
        <w:rPr>
          <w:rFonts w:ascii="Times New Roman" w:cs="Times New Roman" w:eastAsia="Times New Roman" w:hAnsi="Times New Roman"/>
          <w:b w:val="false"/>
          <w:bCs w:val="false"/>
          <w:sz w:val="24"/>
          <w:szCs w:val="24"/>
        </w:rPr>
        <w:t xml:space="preserve">Meskipun transformasi digital memberikan berbagai manfaat bagi pengelolaan filantropi Islam, implementasinya masih menghadapi sejumlah tantangan yang bersifat teknis, organisasional, regulatif, maupun sosial, yang perlu dipahami secara komprehensif karena keberhasilan transformasi digital tidak hanya ditentukan oleh adopsi teknologi, tetapi juga oleh kesiapan ekosistem yang mendukung pengelolaan filantropi secara berkelanjutan (Vial, 2019). Kesenjangan literasi digital tetap menjadi tantangan utama: masyarakat di wilayah dengan infrastruktur internet terbatas, kelompok lanjut usia, dan masyarakat berpendidikan digital rendah masih menghadapi hambatan menggunakan layanan filantropi daring, sehingga manfaat digitalisasi belum dirasakan merata (World Bank, 2021). Ancaman keamanan siber dan perlindungan data pribadi juga krusial mengingat pengelolaan dana digital melibatkan transaksi keuangan dan data sensitif; phishing, malware, pencurian identitas, dan kebocoran data dapat menurunkan kepercayaan publik (Casino et al., 2019).</w:t>
      </w:r>
    </w:p>
    <w:p>
      <w:pPr>
        <w:spacing w:after="200" w:line="360" w:lineRule="auto"/>
        <w:jc w:val="both"/>
      </w:pPr>
      <w:r>
        <w:rPr>
          <w:rFonts w:ascii="Times New Roman" w:cs="Times New Roman" w:eastAsia="Times New Roman" w:hAnsi="Times New Roman"/>
          <w:b w:val="false"/>
          <w:bCs w:val="false"/>
          <w:sz w:val="24"/>
          <w:szCs w:val="24"/>
        </w:rPr>
        <w:t xml:space="preserve">Dari sisi kelembagaan, transformasi digital menuntut kompetensi baru di bidang teknologi informasi, analisis data, dan manajemen perubahan yang belum dimiliki seluruh lembaga, khususnya yang berskala kecil-menengah — akibatnya digitalisasi kerap terbatas pada media pembayaran elektronik tanpa transformasi proses bisnis secara menyeluruh (Westerman et al., 2014). Perkembangan regulasi juga tertinggal dari kecepatan teknologi, sehingga isu tata kelola data, interoperabilitas sistem pembayaran, dan penggunaan blockchain maupun artificial intelligence memerlukan kerangka regulasi yang lebih adaptif serta harmonisasi kebijakan antar-regulator.</w:t>
      </w:r>
    </w:p>
    <w:p>
      <w:pPr>
        <w:spacing w:after="200" w:line="360" w:lineRule="auto"/>
        <w:jc w:val="both"/>
      </w:pPr>
      <w:r>
        <w:rPr>
          <w:rFonts w:ascii="Times New Roman" w:cs="Times New Roman" w:eastAsia="Times New Roman" w:hAnsi="Times New Roman"/>
          <w:b w:val="false"/>
          <w:bCs w:val="false"/>
          <w:sz w:val="24"/>
          <w:szCs w:val="24"/>
        </w:rPr>
        <w:t xml:space="preserve">Di sisi lain, pemanfaatan big data memungkinkan lembaga memetakan karakteristik donor dan kebutuhan masyarakat secara lebih akurat, sementara kecerdasan buatan berpotensi memberikan rekomendasi program, mengotomatisasi layanan melalui chatbot, dan mendeteksi transaksi mencurigakan (fraud detection) tanpa menggantikan peran manusia dalam pengambilan keputusan. Teknologi blockchain, dengan sifat transparan dan sulit dimanipulasi, berpotensi memperkuat akuntabilitas pengelolaan dana ZISWAF meski masih memerlukan kesiapan infrastruktur dan dukungan regulasi (Casino et al., 2019). Dalam perspektif Stakeholder Theory (Freeman, 1984), arah pengembangan filantropi Islam digital perlu mengintegrasikan inovasi teknologi, tata kelola kelembagaan, penguatan SDM, regulasi adaptif, dan literasi digital masyarakat — menyeimbangkan inovasi dengan nilai dasar amanah, keadilan, transparansi, dan kemaslahatan.</w:t>
      </w:r>
    </w:p>
    <w:p>
      <w:pPr>
        <w:spacing w:after="120" w:before="240" w:line="240" w:lineRule="auto"/>
      </w:pPr>
      <w:r>
        <w:rPr>
          <w:rFonts w:ascii="Times New Roman" w:cs="Times New Roman" w:eastAsia="Times New Roman" w:hAnsi="Times New Roman"/>
          <w:b/>
          <w:bCs/>
          <w:sz w:val="24"/>
          <w:szCs w:val="24"/>
        </w:rPr>
        <w:t xml:space="preserve">Kesimpulan</w:t>
      </w:r>
    </w:p>
    <w:p>
      <w:pPr>
        <w:spacing w:after="200" w:line="360" w:lineRule="auto"/>
        <w:jc w:val="both"/>
      </w:pPr>
      <w:r>
        <w:rPr>
          <w:rFonts w:ascii="Times New Roman" w:cs="Times New Roman" w:eastAsia="Times New Roman" w:hAnsi="Times New Roman"/>
          <w:b w:val="false"/>
          <w:bCs w:val="false"/>
          <w:sz w:val="24"/>
          <w:szCs w:val="24"/>
        </w:rPr>
        <w:t xml:space="preserve">Transformasi digital telah mengubah paradigma pengelolaan filantropi Islam dari sistem konvensional menuju tata kelola berbasis platform teknologi yang lebih terbuka, efisien, dan adaptif terhadap perkembangan masyarakat digital. Berdasarkan sintesis berbagai literatur, penelitian ini menunjukkan bahwa pemanfaatan teknologi digital tidak sekadar berfungsi sebagai media pembayaran zakat, infak, sedekah, dan wakaf (ZISWAF), tetapi juga menjadi instrumen strategis dalam mentransformasi proses penghimpunan, pengelolaan, pelaporan, dan pendistribusian dana filantropi secara lebih efektif. Dengan demikian, transformasi digital merupakan perubahan yang bersifat menyeluruh (organizational transformation), mencakup aspek teknologi, tata kelola, sumber daya manusia, dan hubungan organisasi dengan para pemangku kepentingan.</w:t>
      </w:r>
    </w:p>
    <w:p>
      <w:pPr>
        <w:spacing w:after="200" w:line="360" w:lineRule="auto"/>
        <w:jc w:val="both"/>
      </w:pPr>
      <w:r>
        <w:rPr>
          <w:rFonts w:ascii="Times New Roman" w:cs="Times New Roman" w:eastAsia="Times New Roman" w:hAnsi="Times New Roman"/>
          <w:b w:val="false"/>
          <w:bCs w:val="false"/>
          <w:sz w:val="24"/>
          <w:szCs w:val="24"/>
        </w:rPr>
        <w:t xml:space="preserve">Platform digital berkontribusi signifikan terhadap peningkatan transparansi dan akuntabilitas melalui penyampaian informasi yang lebih cepat, mudah diakses, dan berkelanjutan, memperkuat kepercayaan masyarakat sebagai modal sosial utama keberlanjutan lembaga filantropi. Dari sisi partisipasi, inovasi seperti mobile banking, dompet digital, QRIS, media sosial, dan crowdfunding memperluas akses layanan dan mendorong perubahan perilaku donor, khususnya generasi muda yang mengutamakan kemudahan, transparansi, dan pengalaman pengguna. Efektivitas platform digital sendiri sangat ditentukan oleh kesiapan organisasi mengintegrasikan teknologi dengan tata kelola kelembagaan — sumber daya manusia kompeten, sistem pengendalian internal memadai, serta komitmen terhadap transparansi dan profesionalisme.</w:t>
      </w:r>
    </w:p>
    <w:p>
      <w:pPr>
        <w:spacing w:after="200" w:line="360" w:lineRule="auto"/>
        <w:jc w:val="both"/>
      </w:pPr>
      <w:r>
        <w:rPr>
          <w:rFonts w:ascii="Times New Roman" w:cs="Times New Roman" w:eastAsia="Times New Roman" w:hAnsi="Times New Roman"/>
          <w:b w:val="false"/>
          <w:bCs w:val="false"/>
          <w:sz w:val="24"/>
          <w:szCs w:val="24"/>
        </w:rPr>
        <w:t xml:space="preserve">Penelitian ini juga menunjukkan bahwa efektivitas platform digital tidak hanya ditentukan oleh kecanggihan teknologi, tetapi juga oleh kesiapan organisasi dalam mengintegrasikan teknologi dengan tata kelola kelembagaan. Peningkatan efisiensi operasional, ketepatan distribusi bantuan, serta pengambilan keputusan berbasis data hanya dapat dicapai apabila didukung oleh sumber daya manusia yang kompeten, sistem pengendalian internal yang memadai, serta komitmen organisasi terhadap prinsip transparansi, akuntabilitas, dan profesionalisme.</w:t>
      </w:r>
    </w:p>
    <w:p>
      <w:pPr>
        <w:spacing w:after="200" w:line="360" w:lineRule="auto"/>
        <w:jc w:val="both"/>
      </w:pPr>
      <w:r>
        <w:rPr>
          <w:rFonts w:ascii="Times New Roman" w:cs="Times New Roman" w:eastAsia="Times New Roman" w:hAnsi="Times New Roman"/>
          <w:b w:val="false"/>
          <w:bCs w:val="false"/>
          <w:sz w:val="24"/>
          <w:szCs w:val="24"/>
        </w:rPr>
        <w:t xml:space="preserve">Implementasi filantropi Islam digital masih menghadapi tantangan berupa kesenjangan literasi digital, ancaman keamanan siber, keterbatasan kapasitas teknologi pada sebagian lembaga, serta kebutuhan regulasi yang lebih adaptif. Pengembangan ekosistem filantropi Islam digital karenanya memerlukan kolaborasi erat antara lembaga pengelola, pemerintah, penyedia teknologi, regulator, akademisi, dan masyarakat agar transformasi digital berjalan inklusif, aman, dan berkelanjutan.</w:t>
      </w:r>
    </w:p>
    <w:p>
      <w:pPr>
        <w:spacing w:after="200" w:line="360" w:lineRule="auto"/>
        <w:jc w:val="both"/>
      </w:pPr>
      <w:r>
        <w:rPr>
          <w:rFonts w:ascii="Times New Roman" w:cs="Times New Roman" w:eastAsia="Times New Roman" w:hAnsi="Times New Roman"/>
          <w:b w:val="false"/>
          <w:bCs w:val="false"/>
          <w:sz w:val="24"/>
          <w:szCs w:val="24"/>
        </w:rPr>
        <w:t xml:space="preserve">Secara teoretis, penelitian ini memperkaya kajian filantropi Islam dengan mengintegrasikan perspektif transformasi digital dan tata kelola organisasi. Secara praktis, hasil penelitian mengimplikasikan perlunya lembaga filantropi memprioritaskan infrastruktur digital, kompetensi SDM, sistem keamanan informasi, dan standar tata kelola digital yang sesuai prinsip syariah guna meningkatkan kepercayaan publik dan mengoptimalkan kontribusi filantropi Islam terhadap pembangunan berkelanjutan. Penelitian ini memiliki keterbatasan karena menggunakan pendekatan studi kepustakaan sehingga temuannya bersifat konseptual; penelitian selanjutnya disarankan menggunakan pendekatan empiris (survei, studi kasus, atau mixed methods) untuk menguji pengaruh digitalisasi terhadap kinerja lembaga filantropi Islam, termasuk eksplorasi pemanfaatan artificial intelligence, blockchain, dan big data analytics.</w:t>
      </w:r>
    </w:p>
    <w:p>
      <w:pPr>
        <w:spacing w:after="120" w:before="240" w:line="240" w:lineRule="auto"/>
      </w:pPr>
      <w:r>
        <w:rPr>
          <w:rFonts w:ascii="Times New Roman" w:cs="Times New Roman" w:eastAsia="Times New Roman" w:hAnsi="Times New Roman"/>
          <w:b/>
          <w:bCs/>
          <w:sz w:val="24"/>
          <w:szCs w:val="24"/>
        </w:rPr>
        <w:t xml:space="preserve">Daftar Pustaka</w:t>
      </w:r>
    </w:p>
    <w:p>
      <w:pPr>
        <w:spacing w:after="120" w:line="240" w:lineRule="auto"/>
        <w:ind w:left="720" w:hanging="720"/>
        <w:jc w:val="both"/>
      </w:pPr>
      <w:r>
        <w:rPr>
          <w:rFonts w:ascii="Times New Roman" w:cs="Times New Roman" w:eastAsia="Times New Roman" w:hAnsi="Times New Roman"/>
          <w:sz w:val="24"/>
          <w:szCs w:val="24"/>
        </w:rPr>
        <w:t xml:space="preserve">Ascarya, A., Sukmana, R., &amp; Fianto, B. A. (2022). Digitalization of Islamic social finance: Opportunities and challenges. Journal of Islamic Monetary Economics and Finance, 8(Special Issue), 1–26.</w:t>
      </w:r>
    </w:p>
    <w:p>
      <w:pPr>
        <w:spacing w:after="120" w:line="240" w:lineRule="auto"/>
        <w:ind w:left="720" w:hanging="720"/>
        <w:jc w:val="both"/>
      </w:pPr>
      <w:r>
        <w:rPr>
          <w:rFonts w:ascii="Times New Roman" w:cs="Times New Roman" w:eastAsia="Times New Roman" w:hAnsi="Times New Roman"/>
          <w:sz w:val="24"/>
          <w:szCs w:val="24"/>
        </w:rPr>
        <w:t xml:space="preserve">Badan Amil Zakat Nasional. (2024). Outlook Zakat Indonesia 2024. BAZNAS.</w:t>
      </w:r>
    </w:p>
    <w:p>
      <w:pPr>
        <w:spacing w:after="120" w:line="240" w:lineRule="auto"/>
        <w:ind w:left="720" w:hanging="720"/>
        <w:jc w:val="both"/>
      </w:pPr>
      <w:r>
        <w:rPr>
          <w:rFonts w:ascii="Times New Roman" w:cs="Times New Roman" w:eastAsia="Times New Roman" w:hAnsi="Times New Roman"/>
          <w:sz w:val="24"/>
          <w:szCs w:val="24"/>
        </w:rPr>
        <w:t xml:space="preserve">Brennen, J. S., &amp; Kreiss, D. (2016). Digitalization. In K. B. Jensen, R. T. Craig, J. D. Pooley, &amp; E. W. Rothenbuhler (Eds.), The International Encyclopedia of Communication Theory and Philosophy (pp. 1–11). Wiley.</w:t>
      </w:r>
    </w:p>
    <w:p>
      <w:pPr>
        <w:spacing w:after="120" w:line="240" w:lineRule="auto"/>
        <w:ind w:left="720" w:hanging="720"/>
        <w:jc w:val="both"/>
      </w:pPr>
      <w:r>
        <w:rPr>
          <w:rFonts w:ascii="Times New Roman" w:cs="Times New Roman" w:eastAsia="Times New Roman" w:hAnsi="Times New Roman"/>
          <w:sz w:val="24"/>
          <w:szCs w:val="24"/>
        </w:rPr>
        <w:t xml:space="preserve">Casino, F., Dasaklis, T. K., &amp; Patsakis, C. (2019). A systematic literature review of blockchain-based applications: Current status, classification and open issues. Telematics and Informatics, 36, 55–81. https://doi.org/10.1016/j.tele.2018.11.006</w:t>
      </w:r>
    </w:p>
    <w:p>
      <w:pPr>
        <w:spacing w:after="120" w:line="240" w:lineRule="auto"/>
        <w:ind w:left="720" w:hanging="720"/>
        <w:jc w:val="both"/>
      </w:pPr>
      <w:r>
        <w:rPr>
          <w:rFonts w:ascii="Times New Roman" w:cs="Times New Roman" w:eastAsia="Times New Roman" w:hAnsi="Times New Roman"/>
          <w:sz w:val="24"/>
          <w:szCs w:val="24"/>
        </w:rPr>
        <w:t xml:space="preserve">Cizakca, M. (2011). Islamic Capitalism and Finance: Origins, Evolution and the Future. Edward Elgar Publishing.</w:t>
      </w:r>
    </w:p>
    <w:p>
      <w:pPr>
        <w:spacing w:after="120" w:line="240" w:lineRule="auto"/>
        <w:ind w:left="720" w:hanging="720"/>
        <w:jc w:val="both"/>
      </w:pPr>
      <w:r>
        <w:rPr>
          <w:rFonts w:ascii="Times New Roman" w:cs="Times New Roman" w:eastAsia="Times New Roman" w:hAnsi="Times New Roman"/>
          <w:sz w:val="24"/>
          <w:szCs w:val="24"/>
        </w:rPr>
        <w:t xml:space="preserve">Cordery, C. J., &amp; Baskerville, R. F. (2011). Charity transgressions, trust and accountability. Voluntas: International Journal of Voluntary and Nonprofit Organizations, 22(2), 197–213.</w:t>
      </w:r>
    </w:p>
    <w:p>
      <w:pPr>
        <w:spacing w:after="120" w:line="240" w:lineRule="auto"/>
        <w:ind w:left="720" w:hanging="720"/>
        <w:jc w:val="both"/>
      </w:pPr>
      <w:r>
        <w:rPr>
          <w:rFonts w:ascii="Times New Roman" w:cs="Times New Roman" w:eastAsia="Times New Roman" w:hAnsi="Times New Roman"/>
          <w:sz w:val="24"/>
          <w:szCs w:val="24"/>
        </w:rPr>
        <w:t xml:space="preserve">Creswell, J. W., &amp; Creswell, J. D. (2018). Research Design: Qualitative, Quantitative, and Mixed Methods Approaches (5th ed.). SAGE Publications.</w:t>
      </w:r>
    </w:p>
    <w:p>
      <w:pPr>
        <w:spacing w:after="120" w:line="240" w:lineRule="auto"/>
        <w:ind w:left="720" w:hanging="720"/>
        <w:jc w:val="both"/>
      </w:pPr>
      <w:r>
        <w:rPr>
          <w:rFonts w:ascii="Times New Roman" w:cs="Times New Roman" w:eastAsia="Times New Roman" w:hAnsi="Times New Roman"/>
          <w:sz w:val="24"/>
          <w:szCs w:val="24"/>
        </w:rPr>
        <w:t xml:space="preserve">Davis, F. D. (1989). Perceived usefulness, perceived ease of use, and user acceptance of information technology. MIS Quarterly, 13(3), 319–340. https://doi.org/10.2307/249008</w:t>
      </w:r>
    </w:p>
    <w:p>
      <w:pPr>
        <w:spacing w:after="120" w:line="240" w:lineRule="auto"/>
        <w:ind w:left="720" w:hanging="720"/>
        <w:jc w:val="both"/>
      </w:pPr>
      <w:r>
        <w:rPr>
          <w:rFonts w:ascii="Times New Roman" w:cs="Times New Roman" w:eastAsia="Times New Roman" w:hAnsi="Times New Roman"/>
          <w:sz w:val="24"/>
          <w:szCs w:val="24"/>
        </w:rPr>
        <w:t xml:space="preserve">Fauzia, A. (2013). Faith and the State: A History of Islamic Philanthropy in Indonesia. Brill.</w:t>
      </w:r>
    </w:p>
    <w:p>
      <w:pPr>
        <w:spacing w:after="120" w:line="240" w:lineRule="auto"/>
        <w:ind w:left="720" w:hanging="720"/>
        <w:jc w:val="both"/>
      </w:pPr>
      <w:r>
        <w:rPr>
          <w:rFonts w:ascii="Times New Roman" w:cs="Times New Roman" w:eastAsia="Times New Roman" w:hAnsi="Times New Roman"/>
          <w:sz w:val="24"/>
          <w:szCs w:val="24"/>
        </w:rPr>
        <w:t xml:space="preserve">Freeman, R. E. (1984). Strategic Management: A Stakeholder Approach. Pitman.</w:t>
      </w:r>
    </w:p>
    <w:p>
      <w:pPr>
        <w:spacing w:after="120" w:line="240" w:lineRule="auto"/>
        <w:ind w:left="720" w:hanging="720"/>
        <w:jc w:val="both"/>
      </w:pPr>
      <w:r>
        <w:rPr>
          <w:rFonts w:ascii="Times New Roman" w:cs="Times New Roman" w:eastAsia="Times New Roman" w:hAnsi="Times New Roman"/>
          <w:sz w:val="24"/>
          <w:szCs w:val="24"/>
        </w:rPr>
        <w:t xml:space="preserve">Kahf, M. (1999). The Performance of the Institution of Zakah in Theory and Practice. Islamic Research and Training Institute.</w:t>
      </w:r>
    </w:p>
    <w:p>
      <w:pPr>
        <w:spacing w:after="120" w:line="240" w:lineRule="auto"/>
        <w:ind w:left="720" w:hanging="720"/>
        <w:jc w:val="both"/>
      </w:pPr>
      <w:r>
        <w:rPr>
          <w:rFonts w:ascii="Times New Roman" w:cs="Times New Roman" w:eastAsia="Times New Roman" w:hAnsi="Times New Roman"/>
          <w:sz w:val="24"/>
          <w:szCs w:val="24"/>
        </w:rPr>
        <w:t xml:space="preserve">Kahf, M. (2003). The Role of Zakah and Awqaf in Poverty Alleviation. Islamic Research and Training Institute.</w:t>
      </w:r>
    </w:p>
    <w:p>
      <w:pPr>
        <w:spacing w:after="120" w:line="240" w:lineRule="auto"/>
        <w:ind w:left="720" w:hanging="720"/>
        <w:jc w:val="both"/>
      </w:pPr>
      <w:r>
        <w:rPr>
          <w:rFonts w:ascii="Times New Roman" w:cs="Times New Roman" w:eastAsia="Times New Roman" w:hAnsi="Times New Roman"/>
          <w:sz w:val="24"/>
          <w:szCs w:val="24"/>
        </w:rPr>
        <w:t xml:space="preserve">Kasri, R. A., &amp; Putri, N. I. S. (2018). Fundraising strategies to optimize zakat potential in Indonesia: An exploratory qualitative study. Al-Iqtishad: Jurnal Ilmu Ekonomi Syariah, 10(1), 1–24.</w:t>
      </w:r>
    </w:p>
    <w:p>
      <w:pPr>
        <w:spacing w:after="120" w:line="240" w:lineRule="auto"/>
        <w:ind w:left="720" w:hanging="720"/>
        <w:jc w:val="both"/>
      </w:pPr>
      <w:r>
        <w:rPr>
          <w:rFonts w:ascii="Times New Roman" w:cs="Times New Roman" w:eastAsia="Times New Roman" w:hAnsi="Times New Roman"/>
          <w:sz w:val="24"/>
          <w:szCs w:val="24"/>
        </w:rPr>
        <w:t xml:space="preserve">Kasri, R. A., &amp; Chaerunnisa, S. R. (2022). Digital adoption in Islamic charitable giving: Evidence from Indonesian zakat institutions. Journal of Islamic Accounting and Business Research, 13(8), 1230–1248.</w:t>
      </w:r>
    </w:p>
    <w:p>
      <w:pPr>
        <w:spacing w:after="120" w:line="240" w:lineRule="auto"/>
        <w:ind w:left="720" w:hanging="720"/>
        <w:jc w:val="both"/>
      </w:pPr>
      <w:r>
        <w:rPr>
          <w:rFonts w:ascii="Times New Roman" w:cs="Times New Roman" w:eastAsia="Times New Roman" w:hAnsi="Times New Roman"/>
          <w:sz w:val="24"/>
          <w:szCs w:val="24"/>
        </w:rPr>
        <w:t xml:space="preserve">Krippendorff, K. (2018). Content Analysis: An Introduction to Its Methodology (4th ed.). SAGE Publications.</w:t>
      </w:r>
    </w:p>
    <w:p>
      <w:pPr>
        <w:spacing w:after="120" w:line="240" w:lineRule="auto"/>
        <w:ind w:left="720" w:hanging="720"/>
        <w:jc w:val="both"/>
      </w:pPr>
      <w:r>
        <w:rPr>
          <w:rFonts w:ascii="Times New Roman" w:cs="Times New Roman" w:eastAsia="Times New Roman" w:hAnsi="Times New Roman"/>
          <w:sz w:val="24"/>
          <w:szCs w:val="24"/>
        </w:rPr>
        <w:t xml:space="preserve">Latief, H. (2013). Islamic Philanthropy and the Private Sector in Indonesia. ISEAS Publishing.</w:t>
      </w:r>
    </w:p>
    <w:p>
      <w:pPr>
        <w:spacing w:after="120" w:line="240" w:lineRule="auto"/>
        <w:ind w:left="720" w:hanging="720"/>
        <w:jc w:val="both"/>
      </w:pPr>
      <w:r>
        <w:rPr>
          <w:rFonts w:ascii="Times New Roman" w:cs="Times New Roman" w:eastAsia="Times New Roman" w:hAnsi="Times New Roman"/>
          <w:sz w:val="24"/>
          <w:szCs w:val="24"/>
        </w:rPr>
        <w:t xml:space="preserve">Obaidullah, M. (2016). Managing Climate Change: The Role of Islamic Finance. Islamic Research and Training Institute.</w:t>
      </w:r>
    </w:p>
    <w:p>
      <w:pPr>
        <w:spacing w:after="120" w:line="240" w:lineRule="auto"/>
        <w:ind w:left="720" w:hanging="720"/>
        <w:jc w:val="both"/>
      </w:pPr>
      <w:r>
        <w:rPr>
          <w:rFonts w:ascii="Times New Roman" w:cs="Times New Roman" w:eastAsia="Times New Roman" w:hAnsi="Times New Roman"/>
          <w:sz w:val="24"/>
          <w:szCs w:val="24"/>
        </w:rPr>
        <w:t xml:space="preserve">Payton, R. L., &amp; Moody, M. P. (2008). Understanding Philanthropy: Its Meaning and Mission. Indiana University Press.</w:t>
      </w:r>
    </w:p>
    <w:p>
      <w:pPr>
        <w:spacing w:after="120" w:line="240" w:lineRule="auto"/>
        <w:ind w:left="720" w:hanging="720"/>
        <w:jc w:val="both"/>
      </w:pPr>
      <w:r>
        <w:rPr>
          <w:rFonts w:ascii="Times New Roman" w:cs="Times New Roman" w:eastAsia="Times New Roman" w:hAnsi="Times New Roman"/>
          <w:sz w:val="24"/>
          <w:szCs w:val="24"/>
        </w:rPr>
        <w:t xml:space="preserve">Saxton, G. D., &amp; Guo, C. (2011). Accountability online: Understanding the web-based accountability practices of nonprofit organizations. Nonprofit and Voluntary Sector Quarterly, 40(2), 270–295.</w:t>
      </w:r>
    </w:p>
    <w:p>
      <w:pPr>
        <w:spacing w:after="120" w:line="240" w:lineRule="auto"/>
        <w:ind w:left="720" w:hanging="720"/>
        <w:jc w:val="both"/>
      </w:pPr>
      <w:r>
        <w:rPr>
          <w:rFonts w:ascii="Times New Roman" w:cs="Times New Roman" w:eastAsia="Times New Roman" w:hAnsi="Times New Roman"/>
          <w:sz w:val="24"/>
          <w:szCs w:val="24"/>
        </w:rPr>
        <w:t xml:space="preserve">Saxton, G. D., &amp; Wang, L. (2014). The social network effect: The determinants of giving through social media. Nonprofit and Voluntary Sector Quarterly, 43(5), 850–868.</w:t>
      </w:r>
    </w:p>
    <w:p>
      <w:pPr>
        <w:spacing w:after="120" w:line="240" w:lineRule="auto"/>
        <w:ind w:left="720" w:hanging="720"/>
        <w:jc w:val="both"/>
      </w:pPr>
      <w:r>
        <w:rPr>
          <w:rFonts w:ascii="Times New Roman" w:cs="Times New Roman" w:eastAsia="Times New Roman" w:hAnsi="Times New Roman"/>
          <w:sz w:val="24"/>
          <w:szCs w:val="24"/>
        </w:rPr>
        <w:t xml:space="preserve">Sadeq, A. M. (2002). Waqf, Perpetual Charity and Poverty Alleviation. International Journal of Social Economics, 29(1–2), 135–151.</w:t>
      </w:r>
    </w:p>
    <w:p>
      <w:pPr>
        <w:spacing w:after="120" w:line="240" w:lineRule="auto"/>
        <w:ind w:left="720" w:hanging="720"/>
        <w:jc w:val="both"/>
      </w:pPr>
      <w:r>
        <w:rPr>
          <w:rFonts w:ascii="Times New Roman" w:cs="Times New Roman" w:eastAsia="Times New Roman" w:hAnsi="Times New Roman"/>
          <w:sz w:val="24"/>
          <w:szCs w:val="24"/>
        </w:rPr>
        <w:t xml:space="preserve">Schwab, K. (2016). The Fourth Industrial Revolution. Crown Business.</w:t>
      </w:r>
    </w:p>
    <w:p>
      <w:pPr>
        <w:spacing w:after="120" w:line="240" w:lineRule="auto"/>
        <w:ind w:left="720" w:hanging="720"/>
        <w:jc w:val="both"/>
      </w:pPr>
      <w:r>
        <w:rPr>
          <w:rFonts w:ascii="Times New Roman" w:cs="Times New Roman" w:eastAsia="Times New Roman" w:hAnsi="Times New Roman"/>
          <w:sz w:val="24"/>
          <w:szCs w:val="24"/>
        </w:rPr>
        <w:t xml:space="preserve">Snyder, H. (2019). Literature review as a research methodology: An overview and guidelines. Journal of Business Research, 104, 333–339. https://doi.org/10.1016/j.jbusres.2019.07.039</w:t>
      </w:r>
    </w:p>
    <w:p>
      <w:pPr>
        <w:spacing w:after="120" w:line="240" w:lineRule="auto"/>
        <w:ind w:left="720" w:hanging="720"/>
        <w:jc w:val="both"/>
      </w:pPr>
      <w:r>
        <w:rPr>
          <w:rFonts w:ascii="Times New Roman" w:cs="Times New Roman" w:eastAsia="Times New Roman" w:hAnsi="Times New Roman"/>
          <w:sz w:val="24"/>
          <w:szCs w:val="24"/>
        </w:rPr>
        <w:t xml:space="preserve">United Nations Development Programme. (2021). Islamic Finance and the Sustainable Development Goals. UNDP.</w:t>
      </w:r>
    </w:p>
    <w:p>
      <w:pPr>
        <w:spacing w:after="120" w:line="240" w:lineRule="auto"/>
        <w:ind w:left="720" w:hanging="720"/>
        <w:jc w:val="both"/>
      </w:pPr>
      <w:r>
        <w:rPr>
          <w:rFonts w:ascii="Times New Roman" w:cs="Times New Roman" w:eastAsia="Times New Roman" w:hAnsi="Times New Roman"/>
          <w:sz w:val="24"/>
          <w:szCs w:val="24"/>
        </w:rPr>
        <w:t xml:space="preserve">Vial, G. (2019). Understanding digital transformation: A review and a research agenda. The Journal of Strategic Information Systems, 28(2), 118–144. https://doi.org/10.1016/j.jsis.2019.01.003</w:t>
      </w:r>
    </w:p>
    <w:p>
      <w:pPr>
        <w:spacing w:after="120" w:line="240" w:lineRule="auto"/>
        <w:ind w:left="720" w:hanging="720"/>
        <w:jc w:val="both"/>
      </w:pPr>
      <w:r>
        <w:rPr>
          <w:rFonts w:ascii="Times New Roman" w:cs="Times New Roman" w:eastAsia="Times New Roman" w:hAnsi="Times New Roman"/>
          <w:sz w:val="24"/>
          <w:szCs w:val="24"/>
        </w:rPr>
        <w:t xml:space="preserve">Westerman, G., Bonnet, D., &amp; McAfee, A. (2014). Leading Digital: Turning Technology into Business Transformation. Harvard Business Review Press.</w:t>
      </w:r>
    </w:p>
    <w:p>
      <w:pPr>
        <w:spacing w:after="120" w:line="240" w:lineRule="auto"/>
        <w:ind w:left="720" w:hanging="720"/>
        <w:jc w:val="both"/>
      </w:pPr>
      <w:r>
        <w:rPr>
          <w:rFonts w:ascii="Times New Roman" w:cs="Times New Roman" w:eastAsia="Times New Roman" w:hAnsi="Times New Roman"/>
          <w:sz w:val="24"/>
          <w:szCs w:val="24"/>
        </w:rPr>
        <w:t xml:space="preserve">World Bank. (2021). World Development Report 2021: Data for Better Lives. World Bank.</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2026-08-10T15:04:35.127Z</dcterms:created>
  <dcterms:modified xsi:type="dcterms:W3CDTF">2026-08-10T15:04:35.127Z</dcterms:modified>
</cp:coreProperties>
</file>

<file path=docProps/custom.xml><?xml version="1.0" encoding="utf-8"?>
<Properties xmlns="http://schemas.openxmlformats.org/officeDocument/2006/custom-properties" xmlns:vt="http://schemas.openxmlformats.org/officeDocument/2006/docPropsVTypes"/>
</file>